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6A" w:rsidRDefault="0033726A">
      <w:pPr>
        <w:shd w:val="clear" w:color="auto" w:fill="FFFFFF"/>
        <w:adjustRightInd w:val="0"/>
        <w:snapToGrid w:val="0"/>
        <w:spacing w:line="520" w:lineRule="exact"/>
        <w:outlineLvl w:val="2"/>
        <w:rPr>
          <w:rFonts w:ascii="仿宋" w:eastAsia="仿宋" w:hAnsi="仿宋" w:cs="仿宋"/>
          <w:bCs/>
          <w:sz w:val="32"/>
          <w:szCs w:val="32"/>
        </w:rPr>
      </w:pPr>
    </w:p>
    <w:p w:rsidR="0033726A" w:rsidRDefault="007A74CA">
      <w:pPr>
        <w:shd w:val="clear" w:color="auto" w:fill="FFFFFF"/>
        <w:adjustRightInd w:val="0"/>
        <w:snapToGrid w:val="0"/>
        <w:spacing w:line="520" w:lineRule="exact"/>
        <w:jc w:val="center"/>
        <w:outlineLvl w:val="2"/>
        <w:rPr>
          <w:rFonts w:ascii="华文中宋" w:eastAsia="华文中宋" w:hAnsi="华文中宋"/>
          <w:bCs/>
          <w:sz w:val="44"/>
          <w:szCs w:val="44"/>
        </w:rPr>
      </w:pPr>
      <w:r>
        <w:rPr>
          <w:rFonts w:ascii="华文中宋" w:eastAsia="华文中宋" w:hAnsi="华文中宋" w:hint="eastAsia"/>
          <w:bCs/>
          <w:sz w:val="44"/>
          <w:szCs w:val="44"/>
        </w:rPr>
        <w:t>第</w:t>
      </w:r>
      <w:r>
        <w:rPr>
          <w:rFonts w:ascii="华文中宋" w:eastAsia="华文中宋" w:hAnsi="华文中宋" w:hint="eastAsia"/>
          <w:bCs/>
          <w:sz w:val="44"/>
          <w:szCs w:val="44"/>
        </w:rPr>
        <w:t>七</w:t>
      </w:r>
      <w:r>
        <w:rPr>
          <w:rFonts w:ascii="华文中宋" w:eastAsia="华文中宋" w:hAnsi="华文中宋" w:hint="eastAsia"/>
          <w:bCs/>
          <w:sz w:val="44"/>
          <w:szCs w:val="44"/>
        </w:rPr>
        <w:t>批中国建筑业协会团体标准编制工作计划</w:t>
      </w:r>
    </w:p>
    <w:p w:rsidR="0033726A" w:rsidRDefault="0033726A"/>
    <w:tbl>
      <w:tblPr>
        <w:tblW w:w="13520" w:type="dxa"/>
        <w:jc w:val="center"/>
        <w:tblLayout w:type="fixed"/>
        <w:tblLook w:val="04A0"/>
      </w:tblPr>
      <w:tblGrid>
        <w:gridCol w:w="698"/>
        <w:gridCol w:w="1720"/>
        <w:gridCol w:w="1072"/>
        <w:gridCol w:w="4170"/>
        <w:gridCol w:w="2700"/>
        <w:gridCol w:w="1442"/>
        <w:gridCol w:w="1718"/>
      </w:tblGrid>
      <w:tr w:rsidR="0033726A">
        <w:trPr>
          <w:trHeight w:val="900"/>
          <w:tblHeade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序号</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标准名称</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类别</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主要内容及编制要点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主编单位</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完成</w:t>
            </w:r>
          </w:p>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时间</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组织</w:t>
            </w:r>
          </w:p>
          <w:p w:rsidR="0033726A" w:rsidRDefault="007A74CA">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单位</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建筑工程智慧工地技术与评价标准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主要包括：人员管理、施工机械设备管理、物料管理、环境与能耗管理、视频监控管理、进度管理、质量安全管理、施工现场物联网设备管理（包括深基坑监测、起重设备监测、卸料平台监测、临时用电及用水监测、智能安全帽等）的技术要求、数据要求及相应评价标准；规范智慧工地的建设标准，提升工程建设领域信息化水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、中建协兴国际工程咨询有限公司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、北京建科研软件技术有限公司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建筑工程施工合同智能化审查规程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为促进建筑企业树立合同规范化管理流程，梳理并识别建筑施工合同中的风险点，建立住建部、</w:t>
            </w:r>
            <w:r>
              <w:rPr>
                <w:rFonts w:ascii="仿宋" w:eastAsia="仿宋" w:hAnsi="仿宋" w:cs="仿宋" w:hint="eastAsia"/>
                <w:color w:val="000000"/>
                <w:sz w:val="28"/>
                <w:szCs w:val="28"/>
                <w:lang/>
              </w:rPr>
              <w:t>FIDIC</w:t>
            </w:r>
            <w:r>
              <w:rPr>
                <w:rFonts w:ascii="仿宋" w:eastAsia="仿宋" w:hAnsi="仿宋" w:cs="仿宋" w:hint="eastAsia"/>
                <w:color w:val="000000"/>
                <w:sz w:val="28"/>
                <w:szCs w:val="28"/>
                <w:lang/>
              </w:rPr>
              <w:t>等权威施工合同范本数据库、施工合同纠纷裁判规则库、建筑工程法律法规数据库和合同审查标准化清单，形成建设工程</w:t>
            </w:r>
            <w:r>
              <w:rPr>
                <w:rFonts w:ascii="仿宋" w:eastAsia="仿宋" w:hAnsi="仿宋" w:cs="仿宋" w:hint="eastAsia"/>
                <w:color w:val="000000"/>
                <w:sz w:val="28"/>
                <w:szCs w:val="28"/>
                <w:lang/>
              </w:rPr>
              <w:lastRenderedPageBreak/>
              <w:t>施工合同的知识图谱。利用该知识图谱，采用深度学习、自然语言处理技术等人工智能技术，对上传的施工合同，模拟专业律师的合同审核能力，实现对合同的自动分类识别、风险评估，并给出专业的修改参考意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中建协兴国际工程咨询有限公司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装配式内装系统施工技术规程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以“安全、适用、经济、绿色、美观”为原则，开展广泛调查研究，认真总结实践经验，并在参考国内外相关标准和规范基础上进行编制，主要内容包括总则、术语、基本规定、设计规定，防火规定、防水工程、装配式墙面工程、装配式地面工程、装配式吊顶工程、装配式门窗工程、装配式细部工程、电气和智能化装配式设备管线安装工程、卫生器具装配式设备管线安装工程、暖通空调装配式设备管线安装工程、集成式卫生间、厨房系统，</w:t>
            </w:r>
            <w:r>
              <w:rPr>
                <w:rFonts w:ascii="仿宋" w:eastAsia="仿宋" w:hAnsi="仿宋" w:cs="仿宋" w:hint="eastAsia"/>
                <w:color w:val="000000"/>
                <w:sz w:val="28"/>
                <w:szCs w:val="28"/>
                <w:lang/>
              </w:rPr>
              <w:lastRenderedPageBreak/>
              <w:t>同时也包含了对上述装配式内装工程施工内容的质量验收和使用维护要求。</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、中建协兴国际工程咨询有限公司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、北京市工程建设质</w:t>
            </w:r>
            <w:r>
              <w:rPr>
                <w:rFonts w:ascii="仿宋" w:eastAsia="仿宋" w:hAnsi="仿宋" w:cs="仿宋" w:hint="eastAsia"/>
                <w:color w:val="000000"/>
                <w:sz w:val="28"/>
                <w:szCs w:val="28"/>
                <w:lang/>
              </w:rPr>
              <w:t>量管理协会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既有民用建筑绿色改造技术规程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为贯彻国家技术经济政策，节约资源，保护环境，规范既有建筑绿色改造的评价，推进建筑业可持续发展，现拟组织编制组制定既有建筑绿色改造规程。既有建筑的绿色改造总体遵循因地制宜的原则，结合建筑类型和使用功能，及其所在地域的气候、环境、资源、经济、文化等特点，对规划、建筑、结构、材料、暖通空调、给水排水、建筑电气、智能化设计、适老化改造、装配式设计、施工管理、验收标准、运营管理等方面进行整体考虑。</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、中建协兴国际工程咨询有限公司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、北京市工程建设质量管理协会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建筑业企业绿色施工管理标准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主要包括：</w:t>
            </w: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总则：对建筑业企业绿色施工管理规范的编写目的、适用范围等加以规定。</w:t>
            </w:r>
            <w:r>
              <w:rPr>
                <w:rFonts w:ascii="仿宋" w:eastAsia="仿宋" w:hAnsi="仿宋" w:cs="仿宋" w:hint="eastAsia"/>
                <w:color w:val="000000"/>
                <w:sz w:val="28"/>
                <w:szCs w:val="28"/>
                <w:lang/>
              </w:rPr>
              <w:t xml:space="preserve">2 </w:t>
            </w:r>
            <w:r>
              <w:rPr>
                <w:rFonts w:ascii="仿宋" w:eastAsia="仿宋" w:hAnsi="仿宋" w:cs="仿宋" w:hint="eastAsia"/>
                <w:color w:val="000000"/>
                <w:sz w:val="28"/>
                <w:szCs w:val="28"/>
                <w:lang/>
              </w:rPr>
              <w:t>术语：对建筑业企业绿色施工管理相关的专业术语进行规定。</w:t>
            </w:r>
            <w:r>
              <w:rPr>
                <w:rFonts w:ascii="仿宋" w:eastAsia="仿宋" w:hAnsi="仿宋" w:cs="仿宋" w:hint="eastAsia"/>
                <w:color w:val="000000"/>
                <w:sz w:val="28"/>
                <w:szCs w:val="28"/>
                <w:lang/>
              </w:rPr>
              <w:t xml:space="preserve">3 </w:t>
            </w:r>
            <w:r>
              <w:rPr>
                <w:rFonts w:ascii="仿宋" w:eastAsia="仿宋" w:hAnsi="仿宋" w:cs="仿宋" w:hint="eastAsia"/>
                <w:color w:val="000000"/>
                <w:sz w:val="28"/>
                <w:szCs w:val="28"/>
                <w:lang/>
              </w:rPr>
              <w:t>基本规定：对建筑业企业绿色施工管理相关的共性问题进行规定。</w:t>
            </w:r>
            <w:r>
              <w:rPr>
                <w:rFonts w:ascii="仿宋" w:eastAsia="仿宋" w:hAnsi="仿宋" w:cs="仿宋" w:hint="eastAsia"/>
                <w:color w:val="000000"/>
                <w:sz w:val="28"/>
                <w:szCs w:val="28"/>
                <w:lang/>
              </w:rPr>
              <w:t xml:space="preserve">4 </w:t>
            </w:r>
            <w:r>
              <w:rPr>
                <w:rFonts w:ascii="仿宋" w:eastAsia="仿宋" w:hAnsi="仿宋" w:cs="仿宋" w:hint="eastAsia"/>
                <w:color w:val="000000"/>
                <w:sz w:val="28"/>
                <w:szCs w:val="28"/>
                <w:lang/>
              </w:rPr>
              <w:t>绿色施工管理体系构建：对如何构建建筑业企业绿色施工管理体系等进行规定。</w:t>
            </w:r>
            <w:r>
              <w:rPr>
                <w:rFonts w:ascii="仿宋" w:eastAsia="仿宋" w:hAnsi="仿宋" w:cs="仿宋" w:hint="eastAsia"/>
                <w:color w:val="000000"/>
                <w:sz w:val="28"/>
                <w:szCs w:val="28"/>
                <w:lang/>
              </w:rPr>
              <w:t xml:space="preserve">5 </w:t>
            </w:r>
            <w:r>
              <w:rPr>
                <w:rFonts w:ascii="仿宋" w:eastAsia="仿宋" w:hAnsi="仿宋" w:cs="仿宋" w:hint="eastAsia"/>
                <w:color w:val="000000"/>
                <w:sz w:val="28"/>
                <w:szCs w:val="28"/>
                <w:lang/>
              </w:rPr>
              <w:t>绿色施工管理制度：对建筑业企业绿色施工管理制度的构成、制度内容等进行规定。</w:t>
            </w:r>
            <w:r>
              <w:rPr>
                <w:rFonts w:ascii="仿宋" w:eastAsia="仿宋" w:hAnsi="仿宋" w:cs="仿宋" w:hint="eastAsia"/>
                <w:color w:val="000000"/>
                <w:sz w:val="28"/>
                <w:szCs w:val="28"/>
                <w:lang/>
              </w:rPr>
              <w:t xml:space="preserve">6 </w:t>
            </w:r>
            <w:r>
              <w:rPr>
                <w:rFonts w:ascii="仿宋" w:eastAsia="仿宋" w:hAnsi="仿宋" w:cs="仿宋" w:hint="eastAsia"/>
                <w:color w:val="000000"/>
                <w:sz w:val="28"/>
                <w:szCs w:val="28"/>
                <w:lang/>
              </w:rPr>
              <w:t>绿色施工策划管理：对建筑业企业绿色施工策划等进行规定。</w:t>
            </w:r>
            <w:r>
              <w:rPr>
                <w:rFonts w:ascii="仿宋" w:eastAsia="仿宋" w:hAnsi="仿宋" w:cs="仿宋" w:hint="eastAsia"/>
                <w:color w:val="000000"/>
                <w:sz w:val="28"/>
                <w:szCs w:val="28"/>
                <w:lang/>
              </w:rPr>
              <w:t xml:space="preserve">7 </w:t>
            </w:r>
            <w:r>
              <w:rPr>
                <w:rFonts w:ascii="仿宋" w:eastAsia="仿宋" w:hAnsi="仿宋" w:cs="仿宋" w:hint="eastAsia"/>
                <w:color w:val="000000"/>
                <w:sz w:val="28"/>
                <w:szCs w:val="28"/>
                <w:lang/>
              </w:rPr>
              <w:t>绿色施工组织设计和绿色施工方案管理。</w:t>
            </w:r>
            <w:r>
              <w:rPr>
                <w:rFonts w:ascii="仿宋" w:eastAsia="仿宋" w:hAnsi="仿宋" w:cs="仿宋" w:hint="eastAsia"/>
                <w:color w:val="000000"/>
                <w:sz w:val="28"/>
                <w:szCs w:val="28"/>
                <w:lang/>
              </w:rPr>
              <w:t xml:space="preserve">8 </w:t>
            </w:r>
            <w:r>
              <w:rPr>
                <w:rFonts w:ascii="仿宋" w:eastAsia="仿宋" w:hAnsi="仿宋" w:cs="仿宋" w:hint="eastAsia"/>
                <w:color w:val="000000"/>
                <w:sz w:val="28"/>
                <w:szCs w:val="28"/>
                <w:lang/>
              </w:rPr>
              <w:t>绿色施工实施管理。</w:t>
            </w:r>
            <w:r>
              <w:rPr>
                <w:rFonts w:ascii="仿宋" w:eastAsia="仿宋" w:hAnsi="仿宋" w:cs="仿宋" w:hint="eastAsia"/>
                <w:color w:val="000000"/>
                <w:sz w:val="28"/>
                <w:szCs w:val="28"/>
                <w:lang/>
              </w:rPr>
              <w:t xml:space="preserve">9 </w:t>
            </w:r>
            <w:r>
              <w:rPr>
                <w:rFonts w:ascii="仿宋" w:eastAsia="仿宋" w:hAnsi="仿宋" w:cs="仿宋" w:hint="eastAsia"/>
                <w:color w:val="000000"/>
                <w:sz w:val="28"/>
                <w:szCs w:val="28"/>
                <w:lang/>
              </w:rPr>
              <w:t>绿色施工评价。</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哈尔滨筑咨建设发展有限公司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中国建筑业协会建筑业高质量发展研究院</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PPP</w:t>
            </w:r>
            <w:r>
              <w:rPr>
                <w:rFonts w:ascii="仿宋" w:eastAsia="仿宋" w:hAnsi="仿宋" w:cs="仿宋" w:hint="eastAsia"/>
                <w:color w:val="000000"/>
                <w:sz w:val="28"/>
                <w:szCs w:val="28"/>
                <w:lang/>
              </w:rPr>
              <w:t>项目全过程工程咨询技术服务规程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针对</w:t>
            </w:r>
            <w:r>
              <w:rPr>
                <w:rFonts w:ascii="仿宋" w:eastAsia="仿宋" w:hAnsi="仿宋" w:cs="仿宋" w:hint="eastAsia"/>
                <w:color w:val="000000"/>
                <w:sz w:val="28"/>
                <w:szCs w:val="28"/>
                <w:lang/>
              </w:rPr>
              <w:t>PPP</w:t>
            </w:r>
            <w:r>
              <w:rPr>
                <w:rFonts w:ascii="仿宋" w:eastAsia="仿宋" w:hAnsi="仿宋" w:cs="仿宋" w:hint="eastAsia"/>
                <w:color w:val="000000"/>
                <w:sz w:val="28"/>
                <w:szCs w:val="28"/>
                <w:lang/>
              </w:rPr>
              <w:t>项目的特点和难点，对</w:t>
            </w:r>
            <w:r>
              <w:rPr>
                <w:rFonts w:ascii="仿宋" w:eastAsia="仿宋" w:hAnsi="仿宋" w:cs="仿宋" w:hint="eastAsia"/>
                <w:color w:val="000000"/>
                <w:sz w:val="28"/>
                <w:szCs w:val="28"/>
                <w:lang/>
              </w:rPr>
              <w:t>PPP</w:t>
            </w:r>
            <w:r>
              <w:rPr>
                <w:rFonts w:ascii="仿宋" w:eastAsia="仿宋" w:hAnsi="仿宋" w:cs="仿宋" w:hint="eastAsia"/>
                <w:color w:val="000000"/>
                <w:sz w:val="28"/>
                <w:szCs w:val="28"/>
                <w:lang/>
              </w:rPr>
              <w:t>项目工程咨询各个阶段咨询服务的内容、范围和要点进行了详细规定。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、北京中建工程顾问有限公司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、哈尔滨工业大学土木工程学院</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中国建筑业协会建筑业高质量发展研究院</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工程质量管理标准化岗位能力评价标准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主要围绕设计、采购、施工、试运行全过程，包括施工总承包和工程总承包两种模式，针对建设工程项目质量管理标准化岗位评价、考核等方面进行管理设定，一方面应用规范的可操作性方法，形成工程项目质量管理标准化岗位评价考核体系，另一方面体现管理与技术相结合的指导原则，力求评价内容科学、实用、技术含量高、系统性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中国建筑业协会质量管理与监督检测分会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中国建筑业协会质量管理与监督检测分会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建筑施工机械设备企业信用评价标准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针对建筑施工机械设备企业的特点，特别是租赁企业，明确建筑施工机械设备企业信用评价活动，探索创新建筑施工设备企业的信用评价机制，编制和修订可实施性和有效性强的信用评价指标，以推动建筑施工行业中信用等级评价的科学化和标准化，客观评价企业的信用等级。</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、中国建筑业协会建筑安全与机械分会</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、北京建筑大学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中国建筑业协会建筑安全与机械分会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9</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建筑劳务示范产业园建设及评价标准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both"/>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本标准以全国范围内聚集承担房屋建筑和市政基础设施工程劳务分包的劳务公司、专业作业企业及建筑工人培训机构等为主的产业园的建设及评价为对象，建立起一套建筑劳务产业园建设及评价标准，并在此基础上，建立具有示范性的建筑劳务产业园建设及评价标准，主要内容包括总则、术语、基本规定、基础设施、园区规划、园区运营管理、园区服务、提高与创新等。</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、中国建筑业协会建筑供应链与劳务管理分会</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、数字建智企业管理咨询（北京）有限公司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中国建筑业协会建筑供应链与劳务管理分会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材料员职业能力标准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本标准结合建筑行业的经营管理特点，针对建筑与市政工程施工现场材料员工作岗位，梳理岗位设置、研究岗位性质，明确应该具备的材料管理基本知识和基本技能，通过对其能力和要求进行细化量化，提升专业技术技能和管理水平。本标准的主要内容包括：总则、术语、基本规定、工</w:t>
            </w:r>
            <w:r>
              <w:rPr>
                <w:rFonts w:ascii="仿宋" w:eastAsia="仿宋" w:hAnsi="仿宋" w:cs="仿宋" w:hint="eastAsia"/>
                <w:color w:val="000000"/>
                <w:sz w:val="28"/>
                <w:szCs w:val="28"/>
                <w:lang/>
              </w:rPr>
              <w:lastRenderedPageBreak/>
              <w:t>作职责、专业知识、职业能力评价等。</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、中国建筑第八工程局有限公司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、中国建筑业协会建筑供应链与劳务管理分会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中国建筑业协会建筑供应链与劳务管理分会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建设项目全周期工期管理与工期索赔结算规程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主要围绕建设工程招投标、合同签订、施工管理、索赔、结算等全过程，针对建设工程工期管理的各个环节，应用规程的可操作性方法，形成一个有效的工期过程管理和工期索赔结算体系，体现公平合理的原则，力求内容科学、实用、可操作性强，为建设工程建设方、监理方、施工方等各相关方提供工期管理的规范标准，引领行业健康发展。</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、联合建管（北京）管理咨询有限责任公司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、中国建筑集团有限公司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中国建筑业协会工程项目管理与建造师分会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公路工程项目内控管理标准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主要围绕公路工程项目建设全过程中对于内控业务的全流程管理，帮助公路工程项目实现降本增效，从粗放生产走向精细管理，持续提升盈利能力。本标准打通项目工程数量、生产进度、</w:t>
            </w:r>
            <w:r>
              <w:rPr>
                <w:rFonts w:ascii="仿宋" w:eastAsia="仿宋" w:hAnsi="仿宋" w:cs="仿宋" w:hint="eastAsia"/>
                <w:color w:val="000000"/>
                <w:sz w:val="28"/>
                <w:szCs w:val="28"/>
                <w:lang/>
              </w:rPr>
              <w:lastRenderedPageBreak/>
              <w:t>经营成本、物资、设备、分包等内控业务全过程；通过项目管理标准化建设，统一项目管理颗粒度、统一项目核算体系和统一项目评价标准；为项目建设提供各类资源量的控制基准，支撑采购管理、过程成本控制、工程量偏差分析，实现动态预警。在满足施工企业管理需求的同时打造出有机完整的工程项目管理体系。</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、中国建筑业协会工程项目管理与建造师分会</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、北京梦诚科技有限公</w:t>
            </w:r>
            <w:r>
              <w:rPr>
                <w:rFonts w:ascii="仿宋" w:eastAsia="仿宋" w:hAnsi="仿宋" w:cs="仿宋" w:hint="eastAsia"/>
                <w:color w:val="000000"/>
                <w:sz w:val="28"/>
                <w:szCs w:val="28"/>
                <w:lang/>
              </w:rPr>
              <w:t>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中国建筑业协会工程项目管理与建造师分会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辊压钢板组合结构技术规程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辊压钢板组合结构为创新技术，目前国内外只有类似技术。辊压钢板组合结构是由辊压钢板组合墙组成的结构，辊压钢板组合墙是由深度不超过</w:t>
            </w:r>
            <w:r>
              <w:rPr>
                <w:rFonts w:ascii="仿宋" w:eastAsia="仿宋" w:hAnsi="仿宋" w:cs="仿宋" w:hint="eastAsia"/>
                <w:color w:val="000000"/>
                <w:sz w:val="28"/>
                <w:szCs w:val="28"/>
                <w:lang/>
              </w:rPr>
              <w:t>20mm</w:t>
            </w:r>
            <w:r>
              <w:rPr>
                <w:rFonts w:ascii="仿宋" w:eastAsia="仿宋" w:hAnsi="仿宋" w:cs="仿宋" w:hint="eastAsia"/>
                <w:color w:val="000000"/>
                <w:sz w:val="28"/>
                <w:szCs w:val="28"/>
                <w:lang/>
              </w:rPr>
              <w:t>的两层辊压钢板，加上自动化的拉结标准件组合而成</w:t>
            </w:r>
            <w:bookmarkStart w:id="0" w:name="_GoBack"/>
            <w:bookmarkEnd w:id="0"/>
            <w:r>
              <w:rPr>
                <w:rFonts w:ascii="仿宋" w:eastAsia="仿宋" w:hAnsi="仿宋" w:cs="仿宋" w:hint="eastAsia"/>
                <w:color w:val="000000"/>
                <w:sz w:val="28"/>
                <w:szCs w:val="28"/>
                <w:lang/>
              </w:rPr>
              <w:t>，墙的端部与矩形钢管连接为墙的端柱，两层辊压钢板之间浇筑强度等级不低于</w:t>
            </w:r>
            <w:r>
              <w:rPr>
                <w:rFonts w:ascii="仿宋" w:eastAsia="仿宋" w:hAnsi="仿宋" w:cs="仿宋" w:hint="eastAsia"/>
                <w:color w:val="000000"/>
                <w:sz w:val="28"/>
                <w:szCs w:val="28"/>
                <w:lang/>
              </w:rPr>
              <w:t>C40</w:t>
            </w:r>
            <w:r>
              <w:rPr>
                <w:rFonts w:ascii="仿宋" w:eastAsia="仿宋" w:hAnsi="仿宋" w:cs="仿宋" w:hint="eastAsia"/>
                <w:color w:val="000000"/>
                <w:sz w:val="28"/>
                <w:szCs w:val="28"/>
                <w:lang/>
              </w:rPr>
              <w:t>的混凝土。目前，这种创新的钢</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混凝土组合结构，在承载能</w:t>
            </w:r>
            <w:r>
              <w:rPr>
                <w:rFonts w:ascii="仿宋" w:eastAsia="仿宋" w:hAnsi="仿宋" w:cs="仿宋" w:hint="eastAsia"/>
                <w:color w:val="000000"/>
                <w:sz w:val="28"/>
                <w:szCs w:val="28"/>
                <w:lang/>
              </w:rPr>
              <w:lastRenderedPageBreak/>
              <w:t>力、整体稳定性、拉结标准件的布置间距等方面目前尚无完全适用的标准。在工程实践中只能暂时借鉴其他标准作为设计、施工、验收依据。因此迫切需要制订相关标准，作为工程建设活动的技术依据，为辊压钢板组合结构的安全性应用和推广提供市场通行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、中国建筑业协会钢木建筑分会</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、北京和筑科技有限公司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中国建筑业协会钢木建筑分会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装配式多腔钢管混凝土结构技术规程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国内居住类装配式钢结构体系主要有钢管混凝土束组合剪力墙结构体系、异形柱</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双钢板组合剪力墙结构体系、多腔钢板组合剪力墙结构技术体系等。为推动装配式钢结构的建康发展，进一步提升行业的生产制造技术，提高装配式多腔钢管混凝土在我国的实施要求，结合目前钢结构装配式建筑存在的现实问题，编制适合各省省情的装配式多腔钢管混凝土技术标准，并对其实施科</w:t>
            </w:r>
            <w:r>
              <w:rPr>
                <w:rFonts w:ascii="仿宋" w:eastAsia="仿宋" w:hAnsi="仿宋" w:cs="仿宋" w:hint="eastAsia"/>
                <w:color w:val="000000"/>
                <w:sz w:val="28"/>
                <w:szCs w:val="28"/>
                <w:lang/>
              </w:rPr>
              <w:lastRenderedPageBreak/>
              <w:t>学、统一、规范的评价。本标准适用于民用建筑非抗震设计和抗震设防烈度为</w:t>
            </w:r>
            <w:r>
              <w:rPr>
                <w:rFonts w:ascii="仿宋" w:eastAsia="仿宋" w:hAnsi="仿宋" w:cs="仿宋" w:hint="eastAsia"/>
                <w:color w:val="000000"/>
                <w:sz w:val="28"/>
                <w:szCs w:val="28"/>
                <w:lang/>
              </w:rPr>
              <w:t xml:space="preserve"> 6 </w:t>
            </w:r>
            <w:r>
              <w:rPr>
                <w:rFonts w:ascii="仿宋" w:eastAsia="仿宋" w:hAnsi="仿宋" w:cs="仿宋" w:hint="eastAsia"/>
                <w:color w:val="000000"/>
                <w:sz w:val="28"/>
                <w:szCs w:val="28"/>
                <w:lang/>
              </w:rPr>
              <w:t>度、</w:t>
            </w:r>
            <w:r>
              <w:rPr>
                <w:rFonts w:ascii="仿宋" w:eastAsia="仿宋" w:hAnsi="仿宋" w:cs="仿宋" w:hint="eastAsia"/>
                <w:color w:val="000000"/>
                <w:sz w:val="28"/>
                <w:szCs w:val="28"/>
                <w:lang/>
              </w:rPr>
              <w:t xml:space="preserve">7 </w:t>
            </w:r>
            <w:r>
              <w:rPr>
                <w:rFonts w:ascii="仿宋" w:eastAsia="仿宋" w:hAnsi="仿宋" w:cs="仿宋" w:hint="eastAsia"/>
                <w:color w:val="000000"/>
                <w:sz w:val="28"/>
                <w:szCs w:val="28"/>
                <w:lang/>
              </w:rPr>
              <w:t>度和</w:t>
            </w:r>
            <w:r>
              <w:rPr>
                <w:rFonts w:ascii="仿宋" w:eastAsia="仿宋" w:hAnsi="仿宋" w:cs="仿宋" w:hint="eastAsia"/>
                <w:color w:val="000000"/>
                <w:sz w:val="28"/>
                <w:szCs w:val="28"/>
                <w:lang/>
              </w:rPr>
              <w:t xml:space="preserve"> 8 </w:t>
            </w:r>
            <w:r>
              <w:rPr>
                <w:rFonts w:ascii="仿宋" w:eastAsia="仿宋" w:hAnsi="仿宋" w:cs="仿宋" w:hint="eastAsia"/>
                <w:color w:val="000000"/>
                <w:sz w:val="28"/>
                <w:szCs w:val="28"/>
                <w:lang/>
              </w:rPr>
              <w:t>度地区的装配式多腔钢管混凝土结构的设计、生产、施工及验收。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、南昌航空大学土木</w:t>
            </w:r>
            <w:r>
              <w:rPr>
                <w:rFonts w:ascii="仿宋" w:eastAsia="仿宋" w:hAnsi="仿宋" w:cs="仿宋" w:hint="eastAsia"/>
                <w:color w:val="000000"/>
                <w:sz w:val="28"/>
                <w:szCs w:val="28"/>
                <w:lang/>
              </w:rPr>
              <w:t>建筑学院</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、北京和筑科技有限公司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中国建筑业协会钢木建筑分会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超高轻质墙体应用技术规程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一些大型室内游乐场、主题公园、厂房及公建类如展览馆、图书馆、博物馆等高大空间建筑，单层空间高度可达到</w:t>
            </w:r>
            <w:r>
              <w:rPr>
                <w:rFonts w:ascii="仿宋" w:eastAsia="仿宋" w:hAnsi="仿宋" w:cs="仿宋" w:hint="eastAsia"/>
                <w:color w:val="000000"/>
                <w:sz w:val="28"/>
                <w:szCs w:val="28"/>
                <w:lang/>
              </w:rPr>
              <w:t>10m</w:t>
            </w:r>
            <w:r>
              <w:rPr>
                <w:rFonts w:ascii="仿宋" w:eastAsia="仿宋" w:hAnsi="仿宋" w:cs="仿宋" w:hint="eastAsia"/>
                <w:color w:val="000000"/>
                <w:sz w:val="28"/>
                <w:szCs w:val="28"/>
                <w:lang/>
              </w:rPr>
              <w:t>以上。当墙体高度大于</w:t>
            </w:r>
            <w:r>
              <w:rPr>
                <w:rFonts w:ascii="仿宋" w:eastAsia="仿宋" w:hAnsi="仿宋" w:cs="仿宋" w:hint="eastAsia"/>
                <w:color w:val="000000"/>
                <w:sz w:val="28"/>
                <w:szCs w:val="28"/>
                <w:lang/>
              </w:rPr>
              <w:t>10m</w:t>
            </w:r>
            <w:r>
              <w:rPr>
                <w:rFonts w:ascii="仿宋" w:eastAsia="仿宋" w:hAnsi="仿宋" w:cs="仿宋" w:hint="eastAsia"/>
                <w:color w:val="000000"/>
                <w:sz w:val="28"/>
                <w:szCs w:val="28"/>
                <w:lang/>
              </w:rPr>
              <w:t>时，采用常规轻钢龙骨墙体，单层</w:t>
            </w:r>
            <w:r>
              <w:rPr>
                <w:rFonts w:ascii="仿宋" w:eastAsia="仿宋" w:hAnsi="仿宋" w:cs="仿宋" w:hint="eastAsia"/>
                <w:color w:val="000000"/>
                <w:sz w:val="28"/>
                <w:szCs w:val="28"/>
                <w:lang/>
              </w:rPr>
              <w:t>C</w:t>
            </w:r>
            <w:r>
              <w:rPr>
                <w:rFonts w:ascii="仿宋" w:eastAsia="仿宋" w:hAnsi="仿宋" w:cs="仿宋" w:hint="eastAsia"/>
                <w:color w:val="000000"/>
                <w:sz w:val="28"/>
                <w:szCs w:val="28"/>
                <w:lang/>
              </w:rPr>
              <w:t>型轻钢龙骨往往难以满足要求，材料强度及刚度不足，从而导致整体变形大，无法满足表面固定装饰板的要求。高大空间超高轻质墙体应用技术用于墙体高度</w:t>
            </w:r>
            <w:r>
              <w:rPr>
                <w:rFonts w:ascii="仿宋" w:eastAsia="仿宋" w:hAnsi="仿宋" w:cs="仿宋" w:hint="eastAsia"/>
                <w:color w:val="000000"/>
                <w:sz w:val="28"/>
                <w:szCs w:val="28"/>
                <w:lang/>
              </w:rPr>
              <w:t>10m</w:t>
            </w:r>
            <w:r>
              <w:rPr>
                <w:rFonts w:ascii="仿宋" w:eastAsia="仿宋" w:hAnsi="仿宋" w:cs="仿宋" w:hint="eastAsia"/>
                <w:color w:val="000000"/>
                <w:sz w:val="28"/>
                <w:szCs w:val="28"/>
                <w:lang/>
              </w:rPr>
              <w:t>以上，用于解决现有技术中传统的天地龙骨的材料强度及固定不能满足高大空间超高轻质墙体的受力需求，会影响高大空间超高轻</w:t>
            </w:r>
            <w:r>
              <w:rPr>
                <w:rFonts w:ascii="仿宋" w:eastAsia="仿宋" w:hAnsi="仿宋" w:cs="仿宋" w:hint="eastAsia"/>
                <w:color w:val="000000"/>
                <w:sz w:val="28"/>
                <w:szCs w:val="28"/>
                <w:lang/>
              </w:rPr>
              <w:lastRenderedPageBreak/>
              <w:t>质墙体整体系统的稳定性、耐久性，甚至会产生安全隐患的技术问题。高大空间超高轻质墙体分为超高</w:t>
            </w:r>
            <w:r>
              <w:rPr>
                <w:rFonts w:ascii="仿宋" w:eastAsia="仿宋" w:hAnsi="仿宋" w:cs="仿宋" w:hint="eastAsia"/>
                <w:color w:val="000000"/>
                <w:sz w:val="28"/>
                <w:szCs w:val="28"/>
                <w:lang/>
              </w:rPr>
              <w:t>轻钢龙骨墙体、超高冷弯薄壁型钢墙体、超高钢骨架</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轻钢龙骨墙体。超高钢骨架</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轻钢龙骨墙体应用于墙体高度</w:t>
            </w:r>
            <w:r>
              <w:rPr>
                <w:rFonts w:ascii="仿宋" w:eastAsia="仿宋" w:hAnsi="仿宋" w:cs="仿宋" w:hint="eastAsia"/>
                <w:color w:val="000000"/>
                <w:sz w:val="28"/>
                <w:szCs w:val="28"/>
                <w:lang/>
              </w:rPr>
              <w:t>10m</w:t>
            </w:r>
            <w:r>
              <w:rPr>
                <w:rFonts w:ascii="仿宋" w:eastAsia="仿宋" w:hAnsi="仿宋" w:cs="仿宋" w:hint="eastAsia"/>
                <w:color w:val="000000"/>
                <w:sz w:val="28"/>
                <w:szCs w:val="28"/>
                <w:lang/>
              </w:rPr>
              <w:t>以上，通过钢骨架排列成井字格达到墙体整体受力，井字格空挡排列轻钢龙骨用于封板用。高大空间超高轻质墙体技术适用于采用大型空间超高轻质、干作业墙体施工，墙体轻质、装配式施工，符合国家政策要求。</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中建一局集团建设发展有限公司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中国建筑业协会工程技术与</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建筑工程设计施工一体化</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应用技术标准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标准将对一体化管理机制（包括工作流程、协同机制、各方职责）；</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应用策划（设计策划、施工策划）；</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应用环境（软件环境、硬件环境、资源环境）；数据交换机制（数据交换方式、数据交换方法、数据交换</w:t>
            </w:r>
            <w:r>
              <w:rPr>
                <w:rFonts w:ascii="仿宋" w:eastAsia="仿宋" w:hAnsi="仿宋" w:cs="仿宋" w:hint="eastAsia"/>
                <w:color w:val="000000"/>
                <w:sz w:val="28"/>
                <w:szCs w:val="28"/>
                <w:lang/>
              </w:rPr>
              <w:lastRenderedPageBreak/>
              <w:t>内容）；设计阶段</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应用（与施工协同应用重点）；施工阶段</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应用（与设计协同应用重点）等进行规定，利用</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技术解决设计施工一体化的协同工作问题。</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中建工程产业技术研究院有限公司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中国建筑业协会工程技术与</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建筑信息模型数字成果元数据标准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标准将对</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数字成果的元数据进行统一规定，规定建筑信息模型数字成果元数据的基本要求和元数据内容。内容为：总则、术语与缩略语、基本规定、元数据内容、附录</w:t>
            </w:r>
            <w:r>
              <w:rPr>
                <w:rFonts w:ascii="仿宋" w:eastAsia="仿宋" w:hAnsi="仿宋" w:cs="仿宋" w:hint="eastAsia"/>
                <w:color w:val="000000"/>
                <w:sz w:val="28"/>
                <w:szCs w:val="28"/>
                <w:lang/>
              </w:rPr>
              <w:t>A(</w:t>
            </w:r>
            <w:r>
              <w:rPr>
                <w:rFonts w:ascii="仿宋" w:eastAsia="仿宋" w:hAnsi="仿宋" w:cs="仿宋" w:hint="eastAsia"/>
                <w:color w:val="000000"/>
                <w:sz w:val="28"/>
                <w:szCs w:val="28"/>
                <w:lang/>
              </w:rPr>
              <w:t>规范性目录</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元数据内容、附录</w:t>
            </w:r>
            <w:r>
              <w:rPr>
                <w:rFonts w:ascii="仿宋" w:eastAsia="仿宋" w:hAnsi="仿宋" w:cs="仿宋" w:hint="eastAsia"/>
                <w:color w:val="000000"/>
                <w:sz w:val="28"/>
                <w:szCs w:val="28"/>
                <w:lang/>
              </w:rPr>
              <w:t>B</w:t>
            </w:r>
            <w:r>
              <w:rPr>
                <w:rFonts w:ascii="仿宋" w:eastAsia="仿宋" w:hAnsi="仿宋" w:cs="仿宋" w:hint="eastAsia"/>
                <w:color w:val="000000"/>
                <w:sz w:val="28"/>
                <w:szCs w:val="28"/>
                <w:lang/>
              </w:rPr>
              <w:t>（资料性目录）</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文件元数据、附录</w:t>
            </w:r>
            <w:r>
              <w:rPr>
                <w:rFonts w:ascii="仿宋" w:eastAsia="仿宋" w:hAnsi="仿宋" w:cs="仿宋" w:hint="eastAsia"/>
                <w:color w:val="000000"/>
                <w:sz w:val="28"/>
                <w:szCs w:val="28"/>
                <w:lang/>
              </w:rPr>
              <w:t>C</w:t>
            </w:r>
            <w:r>
              <w:rPr>
                <w:rFonts w:ascii="仿宋" w:eastAsia="仿宋" w:hAnsi="仿宋" w:cs="仿宋" w:hint="eastAsia"/>
                <w:color w:val="000000"/>
                <w:sz w:val="28"/>
                <w:szCs w:val="28"/>
                <w:lang/>
              </w:rPr>
              <w:t>（资料性目录）</w:t>
            </w:r>
            <w:r>
              <w:rPr>
                <w:rFonts w:ascii="仿宋" w:eastAsia="仿宋" w:hAnsi="仿宋" w:cs="仿宋" w:hint="eastAsia"/>
                <w:color w:val="000000"/>
                <w:sz w:val="28"/>
                <w:szCs w:val="28"/>
                <w:lang/>
              </w:rPr>
              <w:t>CAD</w:t>
            </w:r>
            <w:r>
              <w:rPr>
                <w:rFonts w:ascii="仿宋" w:eastAsia="仿宋" w:hAnsi="仿宋" w:cs="仿宋" w:hint="eastAsia"/>
                <w:color w:val="000000"/>
                <w:sz w:val="28"/>
                <w:szCs w:val="28"/>
                <w:lang/>
              </w:rPr>
              <w:t>文件元数据。通过上述规定，解决</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数据基于云协同工作时，对各类外部参照链接文件进行有序管理的问题。</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中建工程产业技术研究院有限公司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中国建筑业协会工程技术与</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摩擦焊接钢筋锚固板应用技术规程</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内容主要包括</w:t>
            </w: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总则：标准编制的目的，适用范围以及与国家现行有关标准的关系。</w:t>
            </w:r>
            <w:r>
              <w:rPr>
                <w:rFonts w:ascii="仿宋" w:eastAsia="仿宋" w:hAnsi="仿宋" w:cs="仿宋" w:hint="eastAsia"/>
                <w:color w:val="000000"/>
                <w:sz w:val="28"/>
                <w:szCs w:val="28"/>
                <w:lang/>
              </w:rPr>
              <w:t>2</w:t>
            </w:r>
            <w:r>
              <w:rPr>
                <w:rFonts w:ascii="仿宋" w:eastAsia="仿宋" w:hAnsi="仿宋" w:cs="仿宋" w:hint="eastAsia"/>
                <w:color w:val="000000"/>
                <w:sz w:val="28"/>
                <w:szCs w:val="28"/>
                <w:lang/>
              </w:rPr>
              <w:t>术语和符号：规定摩擦焊接钢筋锚固板的相关术语及符号。</w:t>
            </w:r>
            <w:r>
              <w:rPr>
                <w:rFonts w:ascii="仿宋" w:eastAsia="仿宋" w:hAnsi="仿宋" w:cs="仿宋" w:hint="eastAsia"/>
                <w:color w:val="000000"/>
                <w:sz w:val="28"/>
                <w:szCs w:val="28"/>
                <w:lang/>
              </w:rPr>
              <w:t>3</w:t>
            </w:r>
            <w:r>
              <w:rPr>
                <w:rFonts w:ascii="仿宋" w:eastAsia="仿宋" w:hAnsi="仿宋" w:cs="仿宋" w:hint="eastAsia"/>
                <w:color w:val="000000"/>
                <w:sz w:val="28"/>
                <w:szCs w:val="28"/>
                <w:lang/>
              </w:rPr>
              <w:t>材料与工艺：钢筋、锚固板、摩擦焊工艺（旋转速度、焊接时间、顶锻压力等）。</w:t>
            </w:r>
            <w:r>
              <w:rPr>
                <w:rFonts w:ascii="仿宋" w:eastAsia="仿宋" w:hAnsi="仿宋" w:cs="仿宋" w:hint="eastAsia"/>
                <w:color w:val="000000"/>
                <w:sz w:val="28"/>
                <w:szCs w:val="28"/>
                <w:lang/>
              </w:rPr>
              <w:t>4</w:t>
            </w:r>
            <w:r>
              <w:rPr>
                <w:rFonts w:ascii="仿宋" w:eastAsia="仿宋" w:hAnsi="仿宋" w:cs="仿宋" w:hint="eastAsia"/>
                <w:color w:val="000000"/>
                <w:sz w:val="28"/>
                <w:szCs w:val="28"/>
                <w:lang/>
              </w:rPr>
              <w:t>分类：按摩擦焊工艺，锚固板材料、形状、厚度、受力性能等进行分类。</w:t>
            </w:r>
            <w:r>
              <w:rPr>
                <w:rFonts w:ascii="仿宋" w:eastAsia="仿宋" w:hAnsi="仿宋" w:cs="仿宋" w:hint="eastAsia"/>
                <w:color w:val="000000"/>
                <w:sz w:val="28"/>
                <w:szCs w:val="28"/>
                <w:lang/>
              </w:rPr>
              <w:t>5</w:t>
            </w:r>
            <w:r>
              <w:rPr>
                <w:rFonts w:ascii="仿宋" w:eastAsia="仿宋" w:hAnsi="仿宋" w:cs="仿宋" w:hint="eastAsia"/>
                <w:color w:val="000000"/>
                <w:sz w:val="28"/>
                <w:szCs w:val="28"/>
                <w:lang/>
              </w:rPr>
              <w:t>性能要求：锚固板原材料性能要求，钢筋性能要求，摩擦焊接钢筋锚固板试件的极限拉力、摩擦焊接钢筋锚固板在混凝土中的锚固极限拉力。</w:t>
            </w:r>
            <w:r>
              <w:rPr>
                <w:rFonts w:ascii="仿宋" w:eastAsia="仿宋" w:hAnsi="仿宋" w:cs="仿宋" w:hint="eastAsia"/>
                <w:color w:val="000000"/>
                <w:sz w:val="28"/>
                <w:szCs w:val="28"/>
                <w:lang/>
              </w:rPr>
              <w:t>6</w:t>
            </w:r>
            <w:r>
              <w:rPr>
                <w:rFonts w:ascii="仿宋" w:eastAsia="仿宋" w:hAnsi="仿宋" w:cs="仿宋" w:hint="eastAsia"/>
                <w:color w:val="000000"/>
                <w:sz w:val="28"/>
                <w:szCs w:val="28"/>
                <w:lang/>
              </w:rPr>
              <w:t>设计：满足</w:t>
            </w:r>
            <w:r>
              <w:rPr>
                <w:rFonts w:ascii="仿宋" w:eastAsia="仿宋" w:hAnsi="仿宋" w:cs="仿宋" w:hint="eastAsia"/>
                <w:color w:val="000000"/>
                <w:sz w:val="28"/>
                <w:szCs w:val="28"/>
                <w:lang/>
              </w:rPr>
              <w:t>GB 50010</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GB 55008</w:t>
            </w:r>
            <w:r>
              <w:rPr>
                <w:rFonts w:ascii="仿宋" w:eastAsia="仿宋" w:hAnsi="仿宋" w:cs="仿宋" w:hint="eastAsia"/>
                <w:color w:val="000000"/>
                <w:sz w:val="28"/>
                <w:szCs w:val="28"/>
                <w:lang/>
              </w:rPr>
              <w:t>、</w:t>
            </w:r>
            <w:r>
              <w:rPr>
                <w:rFonts w:ascii="仿宋" w:eastAsia="仿宋" w:hAnsi="仿宋" w:cs="仿宋" w:hint="eastAsia"/>
                <w:color w:val="000000"/>
                <w:sz w:val="28"/>
                <w:szCs w:val="28"/>
                <w:lang/>
              </w:rPr>
              <w:t>JGJ 256</w:t>
            </w:r>
            <w:r>
              <w:rPr>
                <w:rFonts w:ascii="仿宋" w:eastAsia="仿宋" w:hAnsi="仿宋" w:cs="仿宋" w:hint="eastAsia"/>
                <w:color w:val="000000"/>
                <w:sz w:val="28"/>
                <w:szCs w:val="28"/>
                <w:lang/>
              </w:rPr>
              <w:t>等标准的要求。</w:t>
            </w:r>
            <w:r>
              <w:rPr>
                <w:rFonts w:ascii="仿宋" w:eastAsia="仿宋" w:hAnsi="仿宋" w:cs="仿宋" w:hint="eastAsia"/>
                <w:color w:val="000000"/>
                <w:sz w:val="28"/>
                <w:szCs w:val="28"/>
                <w:lang/>
              </w:rPr>
              <w:t>7</w:t>
            </w:r>
            <w:r>
              <w:rPr>
                <w:rFonts w:ascii="仿宋" w:eastAsia="仿宋" w:hAnsi="仿宋" w:cs="仿宋" w:hint="eastAsia"/>
                <w:color w:val="000000"/>
                <w:sz w:val="28"/>
                <w:szCs w:val="28"/>
                <w:lang/>
              </w:rPr>
              <w:t>施工：加工与安装要求。</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检验与验收：型式</w:t>
            </w:r>
            <w:r>
              <w:rPr>
                <w:rFonts w:ascii="仿宋" w:eastAsia="仿宋" w:hAnsi="仿宋" w:cs="仿宋" w:hint="eastAsia"/>
                <w:color w:val="000000"/>
                <w:sz w:val="28"/>
                <w:szCs w:val="28"/>
                <w:lang/>
              </w:rPr>
              <w:t>检验、工艺检验、现场检验和验收要求。</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鞍钢中电建筑科技股份有限公司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中国建筑业协会工程技术与</w:t>
            </w:r>
            <w:r>
              <w:rPr>
                <w:rFonts w:ascii="仿宋" w:eastAsia="仿宋" w:hAnsi="仿宋" w:cs="仿宋" w:hint="eastAsia"/>
                <w:color w:val="000000"/>
                <w:sz w:val="28"/>
                <w:szCs w:val="28"/>
                <w:lang/>
              </w:rPr>
              <w:t>BIM</w:t>
            </w:r>
            <w:r>
              <w:rPr>
                <w:rFonts w:ascii="仿宋" w:eastAsia="仿宋" w:hAnsi="仿宋" w:cs="仿宋" w:hint="eastAsia"/>
                <w:color w:val="000000"/>
                <w:sz w:val="28"/>
                <w:szCs w:val="28"/>
                <w:lang/>
              </w:rPr>
              <w:t>应用分会</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19</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量子电炉主体设备安装工艺及验收标准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量子电炉的设计能够使用不同组成和质量的废钢作炉料，由于废钢经过预热，电弧炉的电力需求极低，因而能够降低运行成本和碳排放，这也是钢铁企业数字型、智慧型发展的重要代表之一。量子电炉对经济发展和工业节能减排优化升级都具有重大意义。量子电炉主体工艺系统设备安装，是规范量子电炉全过程工艺流程、验收标准。</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中国十七冶集团有限公司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中国冶金科工集团有限公司</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建筑业企业数字化转型建设标准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数字化经济作为十四五重点工作正在影响推进全行业未来发展，数字化转型升级成为建筑业企业必选项。针对这一行业现状，拟立标准适用于建筑业企业数字化转型建设，旨在根据建筑业企业数字化应用情况，帮助企业梳理数字化转型的落地方法，为建筑业从业者提供了具有借鉴性的数字化建设、应用路径与建议，真</w:t>
            </w:r>
            <w:r>
              <w:rPr>
                <w:rFonts w:ascii="仿宋" w:eastAsia="仿宋" w:hAnsi="仿宋" w:cs="仿宋" w:hint="eastAsia"/>
                <w:color w:val="000000"/>
                <w:sz w:val="28"/>
                <w:szCs w:val="28"/>
                <w:lang/>
              </w:rPr>
              <w:lastRenderedPageBreak/>
              <w:t>正让企业通过数字化转型建设提升企业竞争力成为可能。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1</w:t>
            </w:r>
            <w:r>
              <w:rPr>
                <w:rFonts w:ascii="仿宋" w:eastAsia="仿宋" w:hAnsi="仿宋" w:cs="仿宋" w:hint="eastAsia"/>
                <w:color w:val="000000"/>
                <w:sz w:val="28"/>
                <w:szCs w:val="28"/>
                <w:lang/>
              </w:rPr>
              <w:t>、北京中建协认证中心有限公司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、广联达科技股份有限公司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北京中建协认证中心有限公司</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21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建筑业企业智慧工地评价标准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当前建筑业企业面临数字化转型的重要转折。而智慧工地是建筑企业进行数字化转型中一个重要的场景建设。智慧工地的建设水平如何，能否适合当下科技水平发展，通过合格评定的手段进行评价是非常重要的。鉴于此，拟立标准适用于建筑业企业智慧工地评价的标准。</w:t>
            </w:r>
            <w:r>
              <w:rPr>
                <w:rFonts w:ascii="仿宋" w:eastAsia="仿宋" w:hAnsi="仿宋" w:cs="仿宋" w:hint="eastAsia"/>
                <w:color w:val="000000"/>
                <w:sz w:val="28"/>
                <w:szCs w:val="28"/>
                <w:lang/>
              </w:rPr>
              <w:br/>
            </w:r>
            <w:r>
              <w:rPr>
                <w:rFonts w:ascii="仿宋" w:eastAsia="仿宋" w:hAnsi="仿宋" w:cs="仿宋" w:hint="eastAsia"/>
                <w:color w:val="000000"/>
                <w:sz w:val="28"/>
                <w:szCs w:val="28"/>
                <w:lang/>
              </w:rPr>
              <w:t>标准围绕人、机、料、法、环管理要素，对施工现场的“云、大、物、移、智”等先进数字化技术的应用，对智慧工地对机械设备、人员、进度、质量、安全、物料、技术、绿色施工等的管理做出评价。</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1</w:t>
            </w:r>
            <w:r>
              <w:rPr>
                <w:rFonts w:ascii="仿宋" w:eastAsia="仿宋" w:hAnsi="仿宋" w:cs="仿宋" w:hint="eastAsia"/>
                <w:color w:val="000000"/>
                <w:sz w:val="28"/>
                <w:szCs w:val="28"/>
                <w:lang/>
              </w:rPr>
              <w:t>、北京中建协认证中心</w:t>
            </w:r>
            <w:r>
              <w:rPr>
                <w:rFonts w:ascii="仿宋" w:eastAsia="仿宋" w:hAnsi="仿宋" w:cs="仿宋" w:hint="eastAsia"/>
                <w:color w:val="000000"/>
                <w:sz w:val="28"/>
                <w:szCs w:val="28"/>
                <w:lang/>
              </w:rPr>
              <w:t>有限公司</w:t>
            </w:r>
            <w:r>
              <w:rPr>
                <w:rFonts w:ascii="仿宋" w:eastAsia="仿宋" w:hAnsi="仿宋" w:cs="仿宋" w:hint="eastAsia"/>
                <w:color w:val="000000"/>
                <w:sz w:val="28"/>
                <w:szCs w:val="28"/>
                <w:lang/>
              </w:rPr>
              <w:br/>
              <w:t>2</w:t>
            </w:r>
            <w:r>
              <w:rPr>
                <w:rFonts w:ascii="仿宋" w:eastAsia="仿宋" w:hAnsi="仿宋" w:cs="仿宋" w:hint="eastAsia"/>
                <w:color w:val="000000"/>
                <w:sz w:val="28"/>
                <w:szCs w:val="28"/>
                <w:lang/>
              </w:rPr>
              <w:t>、广联达科技股份有限公司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北京中建协认证中心有限公司</w:t>
            </w:r>
          </w:p>
        </w:tc>
      </w:tr>
      <w:tr w:rsidR="0033726A">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lastRenderedPageBreak/>
              <w:t>22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公共建筑运营碳排放数据管理应用技术标准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制订</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本研究将涵盖公共建筑运行过程中碳排放数据管理及排放量核算方法的要求。内容包括：范围、规范性引用文件、术语和定义、基本要求、管理要求、碳排放数据的监测、碳排放数据的核算、碳排放数据的验证与报告等内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北京中建协认证中心有限公司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jc w:val="cente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2025</w:t>
            </w:r>
            <w:r>
              <w:rPr>
                <w:rFonts w:ascii="仿宋" w:eastAsia="仿宋" w:hAnsi="仿宋" w:cs="仿宋" w:hint="eastAsia"/>
                <w:color w:val="000000"/>
                <w:sz w:val="28"/>
                <w:szCs w:val="28"/>
                <w:lang/>
              </w:rPr>
              <w:t>年</w:t>
            </w:r>
            <w:r>
              <w:rPr>
                <w:rFonts w:ascii="仿宋" w:eastAsia="仿宋" w:hAnsi="仿宋" w:cs="仿宋" w:hint="eastAsia"/>
                <w:color w:val="000000"/>
                <w:sz w:val="28"/>
                <w:szCs w:val="28"/>
                <w:lang/>
              </w:rPr>
              <w:t>8</w:t>
            </w:r>
            <w:r>
              <w:rPr>
                <w:rFonts w:ascii="仿宋" w:eastAsia="仿宋" w:hAnsi="仿宋" w:cs="仿宋" w:hint="eastAsia"/>
                <w:color w:val="000000"/>
                <w:sz w:val="28"/>
                <w:szCs w:val="28"/>
                <w:lang/>
              </w:rPr>
              <w:t>月</w:t>
            </w:r>
            <w:r>
              <w:rPr>
                <w:rFonts w:ascii="仿宋" w:eastAsia="仿宋" w:hAnsi="仿宋" w:cs="仿宋" w:hint="eastAsia"/>
                <w:color w:val="000000"/>
                <w:sz w:val="28"/>
                <w:szCs w:val="28"/>
                <w:lang/>
              </w:rPr>
              <w:t>31</w:t>
            </w:r>
            <w:r>
              <w:rPr>
                <w:rFonts w:ascii="仿宋" w:eastAsia="仿宋" w:hAnsi="仿宋" w:cs="仿宋" w:hint="eastAsia"/>
                <w:color w:val="000000"/>
                <w:sz w:val="28"/>
                <w:szCs w:val="28"/>
                <w:lang/>
              </w:rPr>
              <w:t>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26A" w:rsidRDefault="007A74CA">
            <w:pPr>
              <w:textAlignment w:val="center"/>
              <w:rPr>
                <w:rFonts w:ascii="仿宋" w:eastAsia="仿宋" w:hAnsi="仿宋" w:cs="仿宋"/>
                <w:color w:val="000000"/>
                <w:sz w:val="28"/>
                <w:szCs w:val="28"/>
                <w:lang/>
              </w:rPr>
            </w:pPr>
            <w:r>
              <w:rPr>
                <w:rFonts w:ascii="仿宋" w:eastAsia="仿宋" w:hAnsi="仿宋" w:cs="仿宋" w:hint="eastAsia"/>
                <w:color w:val="000000"/>
                <w:sz w:val="28"/>
                <w:szCs w:val="28"/>
                <w:lang/>
              </w:rPr>
              <w:t>北京中建协认证中心有限公司</w:t>
            </w:r>
          </w:p>
        </w:tc>
      </w:tr>
    </w:tbl>
    <w:p w:rsidR="0033726A" w:rsidRDefault="0033726A">
      <w:pPr>
        <w:rPr>
          <w:rFonts w:ascii="仿宋_GB2312" w:eastAsia="仿宋_GB2312"/>
          <w:sz w:val="32"/>
          <w:szCs w:val="32"/>
        </w:rPr>
      </w:pPr>
    </w:p>
    <w:sectPr w:rsidR="0033726A" w:rsidSect="0033726A">
      <w:footerReference w:type="default" r:id="rId6"/>
      <w:pgSz w:w="16838" w:h="11906" w:orient="landscape"/>
      <w:pgMar w:top="1531" w:right="1588" w:bottom="1531" w:left="1588" w:header="851" w:footer="624"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CA" w:rsidRDefault="007A74CA" w:rsidP="0033726A">
      <w:r>
        <w:separator/>
      </w:r>
    </w:p>
  </w:endnote>
  <w:endnote w:type="continuationSeparator" w:id="1">
    <w:p w:rsidR="007A74CA" w:rsidRDefault="007A74CA" w:rsidP="00337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7125"/>
    </w:sdtPr>
    <w:sdtContent>
      <w:p w:rsidR="0033726A" w:rsidRDefault="0033726A">
        <w:pPr>
          <w:pStyle w:val="a4"/>
          <w:jc w:val="center"/>
        </w:pPr>
        <w:r w:rsidRPr="0033726A">
          <w:fldChar w:fldCharType="begin"/>
        </w:r>
        <w:r w:rsidR="007A74CA">
          <w:instrText xml:space="preserve"> PAGE   \* MERGEFORMAT </w:instrText>
        </w:r>
        <w:r w:rsidRPr="0033726A">
          <w:fldChar w:fldCharType="separate"/>
        </w:r>
        <w:r w:rsidR="00D90195" w:rsidRPr="00D90195">
          <w:rPr>
            <w:noProof/>
            <w:lang w:val="zh-CN"/>
          </w:rPr>
          <w:t>1</w:t>
        </w:r>
        <w:r>
          <w:rPr>
            <w:lang w:val="zh-CN"/>
          </w:rPr>
          <w:fldChar w:fldCharType="end"/>
        </w:r>
      </w:p>
    </w:sdtContent>
  </w:sdt>
  <w:p w:rsidR="0033726A" w:rsidRDefault="003372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CA" w:rsidRDefault="007A74CA" w:rsidP="0033726A">
      <w:r>
        <w:separator/>
      </w:r>
    </w:p>
  </w:footnote>
  <w:footnote w:type="continuationSeparator" w:id="1">
    <w:p w:rsidR="007A74CA" w:rsidRDefault="007A74CA" w:rsidP="003372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20"/>
  <w:drawingGridVerticalSpacing w:val="164"/>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Dg5NGIzMjQ5OTljOTYwYjdkMTI1ZDg5OGVlMzQ4ZTcifQ=="/>
    <w:docVar w:name="KSO_WPS_MARK_KEY" w:val="a14541ae-8ddd-4fbd-8185-d9eebe5fa15c"/>
  </w:docVars>
  <w:rsids>
    <w:rsidRoot w:val="003E22B2"/>
    <w:rsid w:val="000229F9"/>
    <w:rsid w:val="00043B6E"/>
    <w:rsid w:val="00045170"/>
    <w:rsid w:val="00072C34"/>
    <w:rsid w:val="000A6503"/>
    <w:rsid w:val="000C3BC9"/>
    <w:rsid w:val="000D3030"/>
    <w:rsid w:val="00100148"/>
    <w:rsid w:val="00131EE4"/>
    <w:rsid w:val="001467F2"/>
    <w:rsid w:val="00152AC7"/>
    <w:rsid w:val="00162AD4"/>
    <w:rsid w:val="001701FB"/>
    <w:rsid w:val="00173AC9"/>
    <w:rsid w:val="0018331F"/>
    <w:rsid w:val="00191CC7"/>
    <w:rsid w:val="00197B27"/>
    <w:rsid w:val="001A3254"/>
    <w:rsid w:val="001B1142"/>
    <w:rsid w:val="001E082B"/>
    <w:rsid w:val="001E2AE1"/>
    <w:rsid w:val="001F7FCA"/>
    <w:rsid w:val="00206191"/>
    <w:rsid w:val="00236078"/>
    <w:rsid w:val="002460CF"/>
    <w:rsid w:val="00285089"/>
    <w:rsid w:val="00290617"/>
    <w:rsid w:val="00294150"/>
    <w:rsid w:val="00297230"/>
    <w:rsid w:val="002C5C3E"/>
    <w:rsid w:val="002E037C"/>
    <w:rsid w:val="002E3891"/>
    <w:rsid w:val="00330A0F"/>
    <w:rsid w:val="0033726A"/>
    <w:rsid w:val="00367F28"/>
    <w:rsid w:val="00370A89"/>
    <w:rsid w:val="003959D3"/>
    <w:rsid w:val="003A6C0A"/>
    <w:rsid w:val="003B4EBD"/>
    <w:rsid w:val="003C0104"/>
    <w:rsid w:val="003D0519"/>
    <w:rsid w:val="003D240E"/>
    <w:rsid w:val="003E22B2"/>
    <w:rsid w:val="003E3EE4"/>
    <w:rsid w:val="003E7EE9"/>
    <w:rsid w:val="003F290B"/>
    <w:rsid w:val="00403BAE"/>
    <w:rsid w:val="00420639"/>
    <w:rsid w:val="00441B3B"/>
    <w:rsid w:val="00441C92"/>
    <w:rsid w:val="00455E6E"/>
    <w:rsid w:val="00463399"/>
    <w:rsid w:val="00465A2E"/>
    <w:rsid w:val="00471465"/>
    <w:rsid w:val="004719BC"/>
    <w:rsid w:val="00521368"/>
    <w:rsid w:val="0053031F"/>
    <w:rsid w:val="0053620E"/>
    <w:rsid w:val="00546566"/>
    <w:rsid w:val="00551293"/>
    <w:rsid w:val="00553784"/>
    <w:rsid w:val="00566F9C"/>
    <w:rsid w:val="00570194"/>
    <w:rsid w:val="005710F2"/>
    <w:rsid w:val="0057534E"/>
    <w:rsid w:val="005A5F70"/>
    <w:rsid w:val="005B1DB5"/>
    <w:rsid w:val="005C1589"/>
    <w:rsid w:val="005D7997"/>
    <w:rsid w:val="005E5376"/>
    <w:rsid w:val="005F295B"/>
    <w:rsid w:val="0061034C"/>
    <w:rsid w:val="006247FC"/>
    <w:rsid w:val="00631E42"/>
    <w:rsid w:val="006335FD"/>
    <w:rsid w:val="00655AFD"/>
    <w:rsid w:val="00657EB9"/>
    <w:rsid w:val="006C70F6"/>
    <w:rsid w:val="006D66C3"/>
    <w:rsid w:val="006E5FA6"/>
    <w:rsid w:val="00735497"/>
    <w:rsid w:val="007629DE"/>
    <w:rsid w:val="00782FDB"/>
    <w:rsid w:val="00796C83"/>
    <w:rsid w:val="007A0A95"/>
    <w:rsid w:val="007A74CA"/>
    <w:rsid w:val="007B3D34"/>
    <w:rsid w:val="007C742E"/>
    <w:rsid w:val="007D3380"/>
    <w:rsid w:val="007F07FA"/>
    <w:rsid w:val="00841ACE"/>
    <w:rsid w:val="0088237B"/>
    <w:rsid w:val="00885C5F"/>
    <w:rsid w:val="008914BD"/>
    <w:rsid w:val="00893444"/>
    <w:rsid w:val="008A4451"/>
    <w:rsid w:val="008B35B4"/>
    <w:rsid w:val="008B42F3"/>
    <w:rsid w:val="008B4B19"/>
    <w:rsid w:val="008C3CAC"/>
    <w:rsid w:val="008D6496"/>
    <w:rsid w:val="008D6E28"/>
    <w:rsid w:val="008E1AC8"/>
    <w:rsid w:val="008E6362"/>
    <w:rsid w:val="008E7DBC"/>
    <w:rsid w:val="008F07E2"/>
    <w:rsid w:val="009155C5"/>
    <w:rsid w:val="00917862"/>
    <w:rsid w:val="00923A73"/>
    <w:rsid w:val="00924B4F"/>
    <w:rsid w:val="00926E94"/>
    <w:rsid w:val="00944E83"/>
    <w:rsid w:val="00963434"/>
    <w:rsid w:val="0098476B"/>
    <w:rsid w:val="009926D1"/>
    <w:rsid w:val="009A71EE"/>
    <w:rsid w:val="009B6E55"/>
    <w:rsid w:val="00A0564F"/>
    <w:rsid w:val="00A37D71"/>
    <w:rsid w:val="00A549CE"/>
    <w:rsid w:val="00A71560"/>
    <w:rsid w:val="00A80D67"/>
    <w:rsid w:val="00A81162"/>
    <w:rsid w:val="00AA21C3"/>
    <w:rsid w:val="00AB7F68"/>
    <w:rsid w:val="00AF7720"/>
    <w:rsid w:val="00AF7BDB"/>
    <w:rsid w:val="00AF7CEB"/>
    <w:rsid w:val="00B07B41"/>
    <w:rsid w:val="00B40399"/>
    <w:rsid w:val="00B43C2E"/>
    <w:rsid w:val="00B547E1"/>
    <w:rsid w:val="00B73E27"/>
    <w:rsid w:val="00BD0848"/>
    <w:rsid w:val="00BF2BE5"/>
    <w:rsid w:val="00C02C8E"/>
    <w:rsid w:val="00C16DCB"/>
    <w:rsid w:val="00C20881"/>
    <w:rsid w:val="00C26872"/>
    <w:rsid w:val="00C31345"/>
    <w:rsid w:val="00C318CC"/>
    <w:rsid w:val="00C3531E"/>
    <w:rsid w:val="00C36BCA"/>
    <w:rsid w:val="00C50084"/>
    <w:rsid w:val="00C54BD9"/>
    <w:rsid w:val="00C70E6D"/>
    <w:rsid w:val="00C75AF5"/>
    <w:rsid w:val="00C80ABE"/>
    <w:rsid w:val="00CA10CB"/>
    <w:rsid w:val="00CC3C70"/>
    <w:rsid w:val="00CC6C2F"/>
    <w:rsid w:val="00CD4824"/>
    <w:rsid w:val="00CF11B0"/>
    <w:rsid w:val="00D14B21"/>
    <w:rsid w:val="00D650EA"/>
    <w:rsid w:val="00D663A1"/>
    <w:rsid w:val="00D77666"/>
    <w:rsid w:val="00D90195"/>
    <w:rsid w:val="00DA4283"/>
    <w:rsid w:val="00DB22D3"/>
    <w:rsid w:val="00DB7C16"/>
    <w:rsid w:val="00DC245D"/>
    <w:rsid w:val="00DC5907"/>
    <w:rsid w:val="00DD1303"/>
    <w:rsid w:val="00DD7A73"/>
    <w:rsid w:val="00DE4C23"/>
    <w:rsid w:val="00DF2D02"/>
    <w:rsid w:val="00E03DD0"/>
    <w:rsid w:val="00E15311"/>
    <w:rsid w:val="00E26722"/>
    <w:rsid w:val="00E53E03"/>
    <w:rsid w:val="00E73261"/>
    <w:rsid w:val="00E80086"/>
    <w:rsid w:val="00EC3201"/>
    <w:rsid w:val="00EC5630"/>
    <w:rsid w:val="00ED26FE"/>
    <w:rsid w:val="00ED5E05"/>
    <w:rsid w:val="00EF18C4"/>
    <w:rsid w:val="00EF3ABA"/>
    <w:rsid w:val="00F02000"/>
    <w:rsid w:val="00F21A2B"/>
    <w:rsid w:val="00F2649B"/>
    <w:rsid w:val="00F34DC0"/>
    <w:rsid w:val="00F579E8"/>
    <w:rsid w:val="00F638EA"/>
    <w:rsid w:val="00FA196A"/>
    <w:rsid w:val="00FA4214"/>
    <w:rsid w:val="00FB4F3F"/>
    <w:rsid w:val="00FC0E6F"/>
    <w:rsid w:val="00FF0C0A"/>
    <w:rsid w:val="016C2D4F"/>
    <w:rsid w:val="01920C65"/>
    <w:rsid w:val="01941EE6"/>
    <w:rsid w:val="01A1741C"/>
    <w:rsid w:val="031A4A2D"/>
    <w:rsid w:val="032C2BF8"/>
    <w:rsid w:val="03AC1FE9"/>
    <w:rsid w:val="03ED44A2"/>
    <w:rsid w:val="05900FD6"/>
    <w:rsid w:val="065B7836"/>
    <w:rsid w:val="06684E7F"/>
    <w:rsid w:val="068B1EC9"/>
    <w:rsid w:val="072145DC"/>
    <w:rsid w:val="08236132"/>
    <w:rsid w:val="09AF084B"/>
    <w:rsid w:val="0A653BCD"/>
    <w:rsid w:val="0B607189"/>
    <w:rsid w:val="0B756CA4"/>
    <w:rsid w:val="0BA91CBB"/>
    <w:rsid w:val="0D9D24E2"/>
    <w:rsid w:val="0EB405F5"/>
    <w:rsid w:val="0F207E9C"/>
    <w:rsid w:val="0F81541F"/>
    <w:rsid w:val="10321608"/>
    <w:rsid w:val="1102547E"/>
    <w:rsid w:val="110F2A65"/>
    <w:rsid w:val="11124F95"/>
    <w:rsid w:val="113969C6"/>
    <w:rsid w:val="115958E8"/>
    <w:rsid w:val="128C1C6D"/>
    <w:rsid w:val="12BD471D"/>
    <w:rsid w:val="130E0686"/>
    <w:rsid w:val="14D15173"/>
    <w:rsid w:val="15194DF6"/>
    <w:rsid w:val="16426A26"/>
    <w:rsid w:val="16783AEC"/>
    <w:rsid w:val="17E551B2"/>
    <w:rsid w:val="19055FA5"/>
    <w:rsid w:val="196B213C"/>
    <w:rsid w:val="19CA0B03"/>
    <w:rsid w:val="1C476541"/>
    <w:rsid w:val="1C7B5DC8"/>
    <w:rsid w:val="1D5D7559"/>
    <w:rsid w:val="1D660B43"/>
    <w:rsid w:val="1D700199"/>
    <w:rsid w:val="1DDE6D0C"/>
    <w:rsid w:val="1F830B42"/>
    <w:rsid w:val="1FEF4E1F"/>
    <w:rsid w:val="20A7394C"/>
    <w:rsid w:val="20DB53A4"/>
    <w:rsid w:val="20FD356C"/>
    <w:rsid w:val="214942D3"/>
    <w:rsid w:val="21496856"/>
    <w:rsid w:val="22602004"/>
    <w:rsid w:val="227A25DF"/>
    <w:rsid w:val="23953F30"/>
    <w:rsid w:val="240C4BC4"/>
    <w:rsid w:val="246833F2"/>
    <w:rsid w:val="249B7D44"/>
    <w:rsid w:val="24D34D10"/>
    <w:rsid w:val="271B593A"/>
    <w:rsid w:val="277B73D5"/>
    <w:rsid w:val="27967C83"/>
    <w:rsid w:val="28341F69"/>
    <w:rsid w:val="298D7B6C"/>
    <w:rsid w:val="298F31CF"/>
    <w:rsid w:val="29AB141E"/>
    <w:rsid w:val="2A0475B6"/>
    <w:rsid w:val="2A495A74"/>
    <w:rsid w:val="2AB11513"/>
    <w:rsid w:val="2B193698"/>
    <w:rsid w:val="2B6D2C1B"/>
    <w:rsid w:val="2C5F50DB"/>
    <w:rsid w:val="2CC33737"/>
    <w:rsid w:val="2D952505"/>
    <w:rsid w:val="2DA03BFD"/>
    <w:rsid w:val="2DB476A8"/>
    <w:rsid w:val="2DE47F8D"/>
    <w:rsid w:val="2DF17794"/>
    <w:rsid w:val="2EC35456"/>
    <w:rsid w:val="2ED26038"/>
    <w:rsid w:val="2F527179"/>
    <w:rsid w:val="2F8556DE"/>
    <w:rsid w:val="2FC8743B"/>
    <w:rsid w:val="2FEA5603"/>
    <w:rsid w:val="30446AC1"/>
    <w:rsid w:val="33365257"/>
    <w:rsid w:val="339822E9"/>
    <w:rsid w:val="36C02C1A"/>
    <w:rsid w:val="3715117A"/>
    <w:rsid w:val="37BB2EC4"/>
    <w:rsid w:val="38F22F76"/>
    <w:rsid w:val="3AF94356"/>
    <w:rsid w:val="3BE116C7"/>
    <w:rsid w:val="3C0D2634"/>
    <w:rsid w:val="3C1934F8"/>
    <w:rsid w:val="3C221C81"/>
    <w:rsid w:val="3CF33D49"/>
    <w:rsid w:val="3D424389"/>
    <w:rsid w:val="3D5822A8"/>
    <w:rsid w:val="40A73F87"/>
    <w:rsid w:val="41D5290B"/>
    <w:rsid w:val="41E73751"/>
    <w:rsid w:val="42FE7220"/>
    <w:rsid w:val="468477C0"/>
    <w:rsid w:val="476A10AC"/>
    <w:rsid w:val="47A6489C"/>
    <w:rsid w:val="47D904E9"/>
    <w:rsid w:val="4AFC64BF"/>
    <w:rsid w:val="4B1355B6"/>
    <w:rsid w:val="4C3D59FC"/>
    <w:rsid w:val="4C795916"/>
    <w:rsid w:val="4CFF4044"/>
    <w:rsid w:val="4D0D1E1B"/>
    <w:rsid w:val="4E107BB9"/>
    <w:rsid w:val="4E7D143C"/>
    <w:rsid w:val="4F541627"/>
    <w:rsid w:val="4FC1669B"/>
    <w:rsid w:val="4FF4200C"/>
    <w:rsid w:val="5023004A"/>
    <w:rsid w:val="50377F99"/>
    <w:rsid w:val="50A76ECD"/>
    <w:rsid w:val="512F7CA7"/>
    <w:rsid w:val="51713037"/>
    <w:rsid w:val="52AB07CA"/>
    <w:rsid w:val="53193986"/>
    <w:rsid w:val="55074D3C"/>
    <w:rsid w:val="551408A9"/>
    <w:rsid w:val="552D3364"/>
    <w:rsid w:val="5540169E"/>
    <w:rsid w:val="558E6D7E"/>
    <w:rsid w:val="56656EE1"/>
    <w:rsid w:val="5697521C"/>
    <w:rsid w:val="56CF4BC8"/>
    <w:rsid w:val="57933884"/>
    <w:rsid w:val="57BB500C"/>
    <w:rsid w:val="58DD12D5"/>
    <w:rsid w:val="58F73A58"/>
    <w:rsid w:val="5A8E158E"/>
    <w:rsid w:val="5AF33F8E"/>
    <w:rsid w:val="5D041203"/>
    <w:rsid w:val="5D706898"/>
    <w:rsid w:val="5DD97B2E"/>
    <w:rsid w:val="5E1E672B"/>
    <w:rsid w:val="60F15F42"/>
    <w:rsid w:val="61354266"/>
    <w:rsid w:val="61F173D6"/>
    <w:rsid w:val="62150A51"/>
    <w:rsid w:val="621D72E5"/>
    <w:rsid w:val="623B3981"/>
    <w:rsid w:val="63EE0517"/>
    <w:rsid w:val="64CD637E"/>
    <w:rsid w:val="64D36815"/>
    <w:rsid w:val="65831270"/>
    <w:rsid w:val="66B15149"/>
    <w:rsid w:val="67D57A24"/>
    <w:rsid w:val="68346A8B"/>
    <w:rsid w:val="6890055F"/>
    <w:rsid w:val="69990F25"/>
    <w:rsid w:val="69AF6EDD"/>
    <w:rsid w:val="6AFC2146"/>
    <w:rsid w:val="6B3B04E6"/>
    <w:rsid w:val="6B704E63"/>
    <w:rsid w:val="6BA667DC"/>
    <w:rsid w:val="6C037322"/>
    <w:rsid w:val="6C702411"/>
    <w:rsid w:val="6C872BE5"/>
    <w:rsid w:val="6C891EC0"/>
    <w:rsid w:val="6CD96208"/>
    <w:rsid w:val="6D1B05CF"/>
    <w:rsid w:val="6D6A50B2"/>
    <w:rsid w:val="6D7D4DE5"/>
    <w:rsid w:val="6D9867E6"/>
    <w:rsid w:val="6E6F5C52"/>
    <w:rsid w:val="6ED547AD"/>
    <w:rsid w:val="6F771D08"/>
    <w:rsid w:val="6FE23626"/>
    <w:rsid w:val="70764B6A"/>
    <w:rsid w:val="710F78FF"/>
    <w:rsid w:val="72A92CDA"/>
    <w:rsid w:val="73441F01"/>
    <w:rsid w:val="73641059"/>
    <w:rsid w:val="746B4978"/>
    <w:rsid w:val="7480340D"/>
    <w:rsid w:val="75947170"/>
    <w:rsid w:val="75A373B3"/>
    <w:rsid w:val="768A0525"/>
    <w:rsid w:val="76EC08E6"/>
    <w:rsid w:val="794E5888"/>
    <w:rsid w:val="79985D6D"/>
    <w:rsid w:val="79D26A20"/>
    <w:rsid w:val="7A704DA8"/>
    <w:rsid w:val="7B773D0F"/>
    <w:rsid w:val="7B936F60"/>
    <w:rsid w:val="7BAA1B68"/>
    <w:rsid w:val="7BBE2FEE"/>
    <w:rsid w:val="7C2B23BD"/>
    <w:rsid w:val="7C7A6994"/>
    <w:rsid w:val="7C97124D"/>
    <w:rsid w:val="7D127178"/>
    <w:rsid w:val="7D164333"/>
    <w:rsid w:val="7D380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6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726A"/>
    <w:rPr>
      <w:sz w:val="18"/>
      <w:szCs w:val="18"/>
    </w:rPr>
  </w:style>
  <w:style w:type="paragraph" w:styleId="a4">
    <w:name w:val="footer"/>
    <w:basedOn w:val="a"/>
    <w:link w:val="Char0"/>
    <w:uiPriority w:val="99"/>
    <w:unhideWhenUsed/>
    <w:qFormat/>
    <w:rsid w:val="0033726A"/>
    <w:pPr>
      <w:tabs>
        <w:tab w:val="center" w:pos="4153"/>
        <w:tab w:val="right" w:pos="8306"/>
      </w:tabs>
      <w:snapToGrid w:val="0"/>
    </w:pPr>
    <w:rPr>
      <w:sz w:val="18"/>
      <w:szCs w:val="18"/>
    </w:rPr>
  </w:style>
  <w:style w:type="paragraph" w:styleId="a5">
    <w:name w:val="header"/>
    <w:basedOn w:val="a"/>
    <w:link w:val="Char1"/>
    <w:uiPriority w:val="99"/>
    <w:semiHidden/>
    <w:unhideWhenUsed/>
    <w:qFormat/>
    <w:rsid w:val="0033726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33726A"/>
    <w:pPr>
      <w:spacing w:before="100" w:beforeAutospacing="1" w:after="100" w:afterAutospacing="1"/>
    </w:pPr>
  </w:style>
  <w:style w:type="table" w:styleId="a7">
    <w:name w:val="Table Grid"/>
    <w:basedOn w:val="a1"/>
    <w:uiPriority w:val="59"/>
    <w:qFormat/>
    <w:rsid w:val="00337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33726A"/>
    <w:rPr>
      <w:color w:val="800080"/>
      <w:u w:val="single"/>
    </w:rPr>
  </w:style>
  <w:style w:type="character" w:styleId="a9">
    <w:name w:val="Hyperlink"/>
    <w:basedOn w:val="a0"/>
    <w:uiPriority w:val="99"/>
    <w:semiHidden/>
    <w:unhideWhenUsed/>
    <w:qFormat/>
    <w:rsid w:val="0033726A"/>
    <w:rPr>
      <w:color w:val="0000FF"/>
      <w:u w:val="single"/>
    </w:rPr>
  </w:style>
  <w:style w:type="character" w:customStyle="1" w:styleId="Char1">
    <w:name w:val="页眉 Char"/>
    <w:basedOn w:val="a0"/>
    <w:link w:val="a5"/>
    <w:uiPriority w:val="99"/>
    <w:semiHidden/>
    <w:qFormat/>
    <w:locked/>
    <w:rsid w:val="0033726A"/>
    <w:rPr>
      <w:rFonts w:ascii="宋体" w:eastAsia="宋体" w:hAnsi="宋体" w:cs="宋体" w:hint="eastAsia"/>
      <w:sz w:val="18"/>
      <w:szCs w:val="18"/>
    </w:rPr>
  </w:style>
  <w:style w:type="character" w:customStyle="1" w:styleId="Char0">
    <w:name w:val="页脚 Char"/>
    <w:basedOn w:val="a0"/>
    <w:link w:val="a4"/>
    <w:uiPriority w:val="99"/>
    <w:qFormat/>
    <w:locked/>
    <w:rsid w:val="0033726A"/>
    <w:rPr>
      <w:rFonts w:ascii="宋体" w:eastAsia="宋体" w:hAnsi="宋体" w:cs="宋体" w:hint="eastAsia"/>
      <w:sz w:val="18"/>
      <w:szCs w:val="18"/>
    </w:rPr>
  </w:style>
  <w:style w:type="character" w:customStyle="1" w:styleId="apple-converted-space">
    <w:name w:val="apple-converted-space"/>
    <w:basedOn w:val="a0"/>
    <w:qFormat/>
    <w:rsid w:val="0033726A"/>
  </w:style>
  <w:style w:type="paragraph" w:customStyle="1" w:styleId="font5">
    <w:name w:val="font5"/>
    <w:basedOn w:val="a"/>
    <w:qFormat/>
    <w:rsid w:val="0033726A"/>
    <w:pPr>
      <w:spacing w:before="100" w:beforeAutospacing="1" w:after="100" w:afterAutospacing="1"/>
    </w:pPr>
    <w:rPr>
      <w:sz w:val="18"/>
      <w:szCs w:val="18"/>
    </w:rPr>
  </w:style>
  <w:style w:type="paragraph" w:customStyle="1" w:styleId="xl63">
    <w:name w:val="xl63"/>
    <w:basedOn w:val="a"/>
    <w:qFormat/>
    <w:rsid w:val="0033726A"/>
    <w:pPr>
      <w:spacing w:before="100" w:beforeAutospacing="1" w:after="100" w:afterAutospacing="1"/>
      <w:jc w:val="center"/>
    </w:pPr>
  </w:style>
  <w:style w:type="paragraph" w:customStyle="1" w:styleId="xl64">
    <w:name w:val="xl64"/>
    <w:basedOn w:val="a"/>
    <w:qFormat/>
    <w:rsid w:val="003372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qFormat/>
    <w:rsid w:val="0033726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rPr>
  </w:style>
  <w:style w:type="paragraph" w:customStyle="1" w:styleId="xl66">
    <w:name w:val="xl66"/>
    <w:basedOn w:val="a"/>
    <w:qFormat/>
    <w:rsid w:val="0033726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qFormat/>
    <w:rsid w:val="00337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rPr>
  </w:style>
  <w:style w:type="paragraph" w:customStyle="1" w:styleId="xl68">
    <w:name w:val="xl68"/>
    <w:basedOn w:val="a"/>
    <w:qFormat/>
    <w:rsid w:val="0033726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color w:val="FF0000"/>
    </w:rPr>
  </w:style>
  <w:style w:type="paragraph" w:customStyle="1" w:styleId="xl69">
    <w:name w:val="xl69"/>
    <w:basedOn w:val="a"/>
    <w:qFormat/>
    <w:rsid w:val="00337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rPr>
  </w:style>
  <w:style w:type="character" w:customStyle="1" w:styleId="Char">
    <w:name w:val="批注框文本 Char"/>
    <w:basedOn w:val="a0"/>
    <w:link w:val="a3"/>
    <w:uiPriority w:val="99"/>
    <w:semiHidden/>
    <w:qFormat/>
    <w:rsid w:val="0033726A"/>
    <w:rPr>
      <w:rFonts w:ascii="宋体" w:hAnsi="宋体" w:cs="宋体"/>
      <w:sz w:val="18"/>
      <w:szCs w:val="18"/>
    </w:rPr>
  </w:style>
  <w:style w:type="character" w:customStyle="1" w:styleId="font31">
    <w:name w:val="font31"/>
    <w:basedOn w:val="a0"/>
    <w:qFormat/>
    <w:rsid w:val="0033726A"/>
    <w:rPr>
      <w:rFonts w:ascii="宋体" w:eastAsia="宋体" w:hAnsi="宋体" w:cs="宋体" w:hint="eastAsia"/>
      <w:color w:val="000000"/>
      <w:sz w:val="28"/>
      <w:szCs w:val="28"/>
      <w:u w:val="none"/>
    </w:rPr>
  </w:style>
  <w:style w:type="character" w:customStyle="1" w:styleId="font41">
    <w:name w:val="font41"/>
    <w:basedOn w:val="a0"/>
    <w:qFormat/>
    <w:rsid w:val="0033726A"/>
    <w:rPr>
      <w:rFonts w:ascii="宋体" w:eastAsia="宋体" w:hAnsi="宋体" w:cs="宋体" w:hint="eastAsia"/>
      <w:color w:val="FF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880</Words>
  <Characters>5018</Characters>
  <Application>Microsoft Office Word</Application>
  <DocSecurity>0</DocSecurity>
  <Lines>41</Lines>
  <Paragraphs>11</Paragraphs>
  <ScaleCrop>false</ScaleCrop>
  <Company>微软中国</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49799</cp:lastModifiedBy>
  <cp:revision>2</cp:revision>
  <cp:lastPrinted>2022-03-21T06:23:00Z</cp:lastPrinted>
  <dcterms:created xsi:type="dcterms:W3CDTF">2023-02-21T02:35:00Z</dcterms:created>
  <dcterms:modified xsi:type="dcterms:W3CDTF">2023-02-21T02:35:00Z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E5DA79E869C649A18E5FDC8217155025</vt:lpwstr>
  </property>
</Properties>
</file>