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3DD" w:rsidRDefault="00357848">
      <w:pPr>
        <w:shd w:val="clear" w:color="auto" w:fill="FFFFFF"/>
        <w:adjustRightInd w:val="0"/>
        <w:snapToGrid w:val="0"/>
        <w:spacing w:line="520" w:lineRule="exact"/>
        <w:jc w:val="center"/>
        <w:outlineLvl w:val="2"/>
        <w:rPr>
          <w:rFonts w:ascii="华文中宋" w:eastAsia="华文中宋" w:hAnsi="华文中宋"/>
          <w:bCs/>
          <w:sz w:val="44"/>
          <w:szCs w:val="44"/>
        </w:rPr>
      </w:pPr>
      <w:r>
        <w:rPr>
          <w:rFonts w:ascii="华文中宋" w:eastAsia="华文中宋" w:hAnsi="华文中宋" w:hint="eastAsia"/>
          <w:bCs/>
          <w:sz w:val="44"/>
          <w:szCs w:val="44"/>
        </w:rPr>
        <w:t>第</w:t>
      </w:r>
      <w:r>
        <w:rPr>
          <w:rFonts w:ascii="华文中宋" w:eastAsia="华文中宋" w:hAnsi="华文中宋" w:hint="eastAsia"/>
          <w:bCs/>
          <w:sz w:val="44"/>
          <w:szCs w:val="44"/>
        </w:rPr>
        <w:t>十</w:t>
      </w:r>
      <w:r>
        <w:rPr>
          <w:rFonts w:ascii="华文中宋" w:eastAsia="华文中宋" w:hAnsi="华文中宋" w:hint="eastAsia"/>
          <w:bCs/>
          <w:sz w:val="44"/>
          <w:szCs w:val="44"/>
        </w:rPr>
        <w:t>批中国建筑业协会团体标准编制工作计划</w:t>
      </w:r>
    </w:p>
    <w:p w:rsidR="00F053DD" w:rsidRDefault="00F053DD"/>
    <w:tbl>
      <w:tblPr>
        <w:tblW w:w="14398" w:type="dxa"/>
        <w:jc w:val="center"/>
        <w:tblLayout w:type="fixed"/>
        <w:tblLook w:val="04A0"/>
      </w:tblPr>
      <w:tblGrid>
        <w:gridCol w:w="850"/>
        <w:gridCol w:w="1739"/>
        <w:gridCol w:w="958"/>
        <w:gridCol w:w="904"/>
        <w:gridCol w:w="6314"/>
        <w:gridCol w:w="1428"/>
        <w:gridCol w:w="1121"/>
        <w:gridCol w:w="1084"/>
      </w:tblGrid>
      <w:tr w:rsidR="00F053DD">
        <w:trPr>
          <w:cantSplit/>
          <w:trHeight w:val="869"/>
          <w:tblHeade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b/>
                <w:bCs/>
                <w:color w:val="000000"/>
                <w:sz w:val="30"/>
                <w:szCs w:val="30"/>
              </w:rPr>
            </w:pPr>
            <w:r>
              <w:rPr>
                <w:rFonts w:ascii="仿宋" w:eastAsia="仿宋" w:hAnsi="仿宋" w:cs="仿宋" w:hint="eastAsia"/>
                <w:b/>
                <w:bCs/>
                <w:color w:val="000000"/>
                <w:sz w:val="30"/>
                <w:szCs w:val="30"/>
                <w:lang/>
              </w:rPr>
              <w:t>序号</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jc w:val="center"/>
              <w:textAlignment w:val="center"/>
              <w:rPr>
                <w:rFonts w:ascii="仿宋" w:eastAsia="仿宋" w:hAnsi="仿宋" w:cs="仿宋"/>
                <w:b/>
                <w:bCs/>
                <w:color w:val="000000"/>
                <w:sz w:val="30"/>
                <w:szCs w:val="30"/>
                <w:lang/>
              </w:rPr>
            </w:pPr>
            <w:r>
              <w:rPr>
                <w:rFonts w:ascii="仿宋" w:eastAsia="仿宋" w:hAnsi="仿宋" w:cs="仿宋" w:hint="eastAsia"/>
                <w:b/>
                <w:bCs/>
                <w:color w:val="000000"/>
                <w:sz w:val="30"/>
                <w:szCs w:val="30"/>
                <w:lang/>
              </w:rPr>
              <w:t>标准</w:t>
            </w:r>
          </w:p>
          <w:p w:rsidR="00F053DD" w:rsidRDefault="00357848">
            <w:pPr>
              <w:jc w:val="center"/>
              <w:textAlignment w:val="center"/>
              <w:rPr>
                <w:rFonts w:ascii="仿宋" w:eastAsia="仿宋" w:hAnsi="仿宋" w:cs="仿宋"/>
                <w:b/>
                <w:bCs/>
                <w:color w:val="000000"/>
                <w:sz w:val="30"/>
                <w:szCs w:val="30"/>
              </w:rPr>
            </w:pPr>
            <w:r>
              <w:rPr>
                <w:rFonts w:ascii="仿宋" w:eastAsia="仿宋" w:hAnsi="仿宋" w:cs="仿宋" w:hint="eastAsia"/>
                <w:b/>
                <w:bCs/>
                <w:color w:val="000000"/>
                <w:sz w:val="30"/>
                <w:szCs w:val="30"/>
                <w:lang/>
              </w:rPr>
              <w:t>名称</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jc w:val="center"/>
              <w:textAlignment w:val="center"/>
              <w:rPr>
                <w:rFonts w:ascii="仿宋" w:eastAsia="仿宋" w:hAnsi="仿宋" w:cs="仿宋"/>
                <w:b/>
                <w:bCs/>
                <w:color w:val="000000"/>
                <w:sz w:val="30"/>
                <w:szCs w:val="30"/>
              </w:rPr>
            </w:pPr>
            <w:r>
              <w:rPr>
                <w:rFonts w:ascii="仿宋" w:eastAsia="仿宋" w:hAnsi="仿宋" w:cs="仿宋" w:hint="eastAsia"/>
                <w:b/>
                <w:bCs/>
                <w:color w:val="000000"/>
                <w:sz w:val="30"/>
                <w:szCs w:val="30"/>
                <w:lang/>
              </w:rPr>
              <w:t>工作类别</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jc w:val="center"/>
              <w:textAlignment w:val="center"/>
              <w:rPr>
                <w:rFonts w:ascii="仿宋" w:eastAsia="仿宋" w:hAnsi="仿宋" w:cs="仿宋"/>
                <w:b/>
                <w:bCs/>
                <w:color w:val="000000"/>
                <w:sz w:val="30"/>
                <w:szCs w:val="30"/>
              </w:rPr>
            </w:pPr>
            <w:r>
              <w:rPr>
                <w:rFonts w:ascii="仿宋" w:eastAsia="仿宋" w:hAnsi="仿宋" w:cs="仿宋" w:hint="eastAsia"/>
                <w:b/>
                <w:bCs/>
                <w:color w:val="000000"/>
                <w:sz w:val="30"/>
                <w:szCs w:val="30"/>
                <w:lang/>
              </w:rPr>
              <w:t>标准类别</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jc w:val="center"/>
              <w:textAlignment w:val="center"/>
              <w:rPr>
                <w:rFonts w:ascii="仿宋" w:eastAsia="仿宋" w:hAnsi="仿宋" w:cs="仿宋"/>
                <w:b/>
                <w:bCs/>
                <w:color w:val="000000"/>
                <w:sz w:val="30"/>
                <w:szCs w:val="30"/>
              </w:rPr>
            </w:pPr>
            <w:r>
              <w:rPr>
                <w:rFonts w:ascii="仿宋" w:eastAsia="仿宋" w:hAnsi="仿宋" w:cs="仿宋" w:hint="eastAsia"/>
                <w:b/>
                <w:bCs/>
                <w:color w:val="000000"/>
                <w:sz w:val="30"/>
                <w:szCs w:val="30"/>
                <w:lang/>
              </w:rPr>
              <w:t>主要内容及编制要点</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jc w:val="center"/>
              <w:textAlignment w:val="center"/>
              <w:rPr>
                <w:rFonts w:ascii="仿宋" w:eastAsia="仿宋" w:hAnsi="仿宋" w:cs="仿宋"/>
                <w:b/>
                <w:bCs/>
                <w:color w:val="000000"/>
                <w:sz w:val="30"/>
                <w:szCs w:val="30"/>
                <w:lang/>
              </w:rPr>
            </w:pPr>
            <w:r>
              <w:rPr>
                <w:rFonts w:ascii="仿宋" w:eastAsia="仿宋" w:hAnsi="仿宋" w:cs="仿宋" w:hint="eastAsia"/>
                <w:b/>
                <w:bCs/>
                <w:color w:val="000000"/>
                <w:sz w:val="30"/>
                <w:szCs w:val="30"/>
                <w:lang/>
              </w:rPr>
              <w:t>起草</w:t>
            </w:r>
          </w:p>
          <w:p w:rsidR="00F053DD" w:rsidRDefault="00357848">
            <w:pPr>
              <w:jc w:val="center"/>
              <w:textAlignment w:val="center"/>
              <w:rPr>
                <w:rFonts w:ascii="仿宋" w:eastAsia="仿宋" w:hAnsi="仿宋" w:cs="仿宋"/>
                <w:b/>
                <w:bCs/>
                <w:color w:val="000000"/>
                <w:sz w:val="30"/>
                <w:szCs w:val="30"/>
              </w:rPr>
            </w:pPr>
            <w:r>
              <w:rPr>
                <w:rFonts w:ascii="仿宋" w:eastAsia="仿宋" w:hAnsi="仿宋" w:cs="仿宋" w:hint="eastAsia"/>
                <w:b/>
                <w:bCs/>
                <w:color w:val="000000"/>
                <w:sz w:val="30"/>
                <w:szCs w:val="30"/>
                <w:lang/>
              </w:rPr>
              <w:t>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jc w:val="center"/>
              <w:textAlignment w:val="center"/>
              <w:rPr>
                <w:rFonts w:ascii="仿宋" w:eastAsia="仿宋" w:hAnsi="仿宋" w:cs="仿宋"/>
                <w:b/>
                <w:bCs/>
                <w:color w:val="000000"/>
                <w:sz w:val="30"/>
                <w:szCs w:val="30"/>
              </w:rPr>
            </w:pPr>
            <w:r>
              <w:rPr>
                <w:rFonts w:ascii="仿宋" w:eastAsia="仿宋" w:hAnsi="仿宋" w:cs="仿宋" w:hint="eastAsia"/>
                <w:b/>
                <w:bCs/>
                <w:color w:val="000000"/>
                <w:sz w:val="30"/>
                <w:szCs w:val="30"/>
                <w:lang/>
              </w:rPr>
              <w:t>完成</w:t>
            </w:r>
            <w:r>
              <w:rPr>
                <w:rFonts w:ascii="仿宋" w:eastAsia="仿宋" w:hAnsi="仿宋" w:cs="仿宋" w:hint="eastAsia"/>
                <w:b/>
                <w:bCs/>
                <w:color w:val="000000"/>
                <w:sz w:val="30"/>
                <w:szCs w:val="30"/>
                <w:lang/>
              </w:rPr>
              <w:br/>
            </w:r>
            <w:r>
              <w:rPr>
                <w:rFonts w:ascii="仿宋" w:eastAsia="仿宋" w:hAnsi="仿宋" w:cs="仿宋" w:hint="eastAsia"/>
                <w:b/>
                <w:bCs/>
                <w:color w:val="000000"/>
                <w:sz w:val="30"/>
                <w:szCs w:val="30"/>
                <w:lang/>
              </w:rPr>
              <w:t>时间</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jc w:val="center"/>
              <w:textAlignment w:val="center"/>
              <w:rPr>
                <w:rFonts w:ascii="仿宋" w:eastAsia="仿宋" w:hAnsi="仿宋" w:cs="仿宋"/>
                <w:b/>
                <w:bCs/>
                <w:color w:val="000000"/>
                <w:sz w:val="30"/>
                <w:szCs w:val="30"/>
              </w:rPr>
            </w:pPr>
            <w:r>
              <w:rPr>
                <w:rFonts w:ascii="仿宋" w:eastAsia="仿宋" w:hAnsi="仿宋" w:cs="仿宋" w:hint="eastAsia"/>
                <w:b/>
                <w:bCs/>
                <w:color w:val="000000"/>
                <w:sz w:val="30"/>
                <w:szCs w:val="30"/>
                <w:lang/>
              </w:rPr>
              <w:t>组织单位</w:t>
            </w:r>
          </w:p>
        </w:tc>
      </w:tr>
      <w:tr w:rsidR="00F053DD">
        <w:trPr>
          <w:cantSplit/>
          <w:trHeight w:val="9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1</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好住宅评价标准</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F053DD">
            <w:pPr>
              <w:textAlignment w:val="center"/>
              <w:rPr>
                <w:rFonts w:ascii="仿宋" w:eastAsia="仿宋" w:hAnsi="仿宋" w:cs="仿宋"/>
                <w:color w:val="000000"/>
                <w:sz w:val="30"/>
                <w:szCs w:val="30"/>
                <w:lang/>
              </w:rPr>
            </w:pPr>
          </w:p>
          <w:p w:rsidR="00F053DD" w:rsidRDefault="00357848">
            <w:pPr>
              <w:textAlignment w:val="center"/>
              <w:rPr>
                <w:rFonts w:ascii="仿宋" w:eastAsia="仿宋" w:hAnsi="仿宋" w:cs="仿宋"/>
                <w:color w:val="000000"/>
                <w:sz w:val="30"/>
                <w:szCs w:val="30"/>
                <w:lang/>
              </w:rPr>
            </w:pPr>
            <w:r>
              <w:rPr>
                <w:rFonts w:ascii="仿宋" w:eastAsia="仿宋" w:hAnsi="仿宋" w:cs="仿宋" w:hint="eastAsia"/>
                <w:color w:val="000000"/>
                <w:sz w:val="30"/>
                <w:szCs w:val="30"/>
                <w:lang/>
              </w:rPr>
              <w:t>标准主要内容包括好住宅评价的指标及分值分布、评价原则和方法、评价流程等，包括</w:t>
            </w:r>
            <w:r>
              <w:rPr>
                <w:rFonts w:ascii="仿宋" w:eastAsia="仿宋" w:hAnsi="仿宋" w:cs="仿宋" w:hint="eastAsia"/>
                <w:color w:val="000000"/>
                <w:sz w:val="30"/>
                <w:szCs w:val="30"/>
                <w:lang/>
              </w:rPr>
              <w:t>:</w:t>
            </w:r>
            <w:r>
              <w:rPr>
                <w:rFonts w:ascii="仿宋" w:eastAsia="仿宋" w:hAnsi="仿宋" w:cs="仿宋" w:hint="eastAsia"/>
                <w:color w:val="000000"/>
                <w:sz w:val="30"/>
                <w:szCs w:val="30"/>
                <w:lang/>
              </w:rPr>
              <w:t>总则、术语、基本规定、评价指标及评分、评价实施等，标准明确总则与定义、设定基本规定，确保评价的规范性；其核心是构建包含安全、舒适、绿色、智慧四大维度的详细评价指标体系，并确定各指标的分值分布；同时规定了评价的原则与具体操作方法；最后明确了完整的评价实施流程。</w:t>
            </w:r>
          </w:p>
          <w:p w:rsidR="00F053DD" w:rsidRDefault="00F053DD">
            <w:pPr>
              <w:textAlignment w:val="center"/>
              <w:rPr>
                <w:rFonts w:ascii="仿宋" w:eastAsia="仿宋" w:hAnsi="仿宋" w:cs="仿宋"/>
                <w:color w:val="000000"/>
                <w:sz w:val="30"/>
                <w:szCs w:val="30"/>
                <w:lang/>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北京中建协认证中心有限公司等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w:t>
            </w:r>
          </w:p>
        </w:tc>
      </w:tr>
      <w:tr w:rsidR="00F053DD">
        <w:trPr>
          <w:cantSplit/>
          <w:trHeight w:val="423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lang/>
              </w:rPr>
            </w:pPr>
            <w:r>
              <w:rPr>
                <w:rFonts w:ascii="仿宋" w:eastAsia="仿宋" w:hAnsi="仿宋" w:cs="仿宋" w:hint="eastAsia"/>
                <w:color w:val="000000"/>
                <w:sz w:val="30"/>
                <w:szCs w:val="30"/>
                <w:lang/>
              </w:rPr>
              <w:lastRenderedPageBreak/>
              <w:t>2</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lang/>
              </w:rPr>
            </w:pPr>
            <w:r>
              <w:rPr>
                <w:rFonts w:ascii="仿宋" w:eastAsia="仿宋" w:hAnsi="仿宋" w:cs="仿宋" w:hint="eastAsia"/>
                <w:color w:val="000000"/>
                <w:sz w:val="30"/>
                <w:szCs w:val="30"/>
                <w:lang/>
              </w:rPr>
              <w:t>温室气体</w:t>
            </w:r>
            <w:r>
              <w:rPr>
                <w:rFonts w:ascii="仿宋" w:eastAsia="仿宋" w:hAnsi="仿宋" w:cs="仿宋" w:hint="eastAsia"/>
                <w:color w:val="000000"/>
                <w:sz w:val="30"/>
                <w:szCs w:val="30"/>
                <w:lang/>
              </w:rPr>
              <w:t>-</w:t>
            </w:r>
            <w:r>
              <w:rPr>
                <w:rFonts w:ascii="仿宋" w:eastAsia="仿宋" w:hAnsi="仿宋" w:cs="仿宋" w:hint="eastAsia"/>
                <w:color w:val="000000"/>
                <w:sz w:val="30"/>
                <w:szCs w:val="30"/>
                <w:lang/>
              </w:rPr>
              <w:t>产品碳足迹量化方法与要求</w:t>
            </w:r>
            <w:r>
              <w:rPr>
                <w:rFonts w:ascii="仿宋" w:eastAsia="仿宋" w:hAnsi="仿宋" w:cs="仿宋" w:hint="eastAsia"/>
                <w:color w:val="000000"/>
                <w:sz w:val="30"/>
                <w:szCs w:val="30"/>
                <w:lang/>
              </w:rPr>
              <w:t>-</w:t>
            </w:r>
            <w:r>
              <w:rPr>
                <w:rFonts w:ascii="仿宋" w:eastAsia="仿宋" w:hAnsi="仿宋" w:cs="仿宋" w:hint="eastAsia"/>
                <w:color w:val="000000"/>
                <w:sz w:val="30"/>
                <w:szCs w:val="30"/>
                <w:lang/>
              </w:rPr>
              <w:t>加气混凝土砌块</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lang/>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lang/>
              </w:rPr>
            </w:pPr>
            <w:r>
              <w:rPr>
                <w:rFonts w:ascii="仿宋" w:eastAsia="仿宋" w:hAnsi="仿宋" w:cs="仿宋" w:hint="eastAsia"/>
                <w:color w:val="000000"/>
                <w:sz w:val="30"/>
                <w:szCs w:val="30"/>
                <w:lang/>
              </w:rPr>
              <w:t>产品</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lang/>
              </w:rPr>
            </w:pPr>
            <w:r>
              <w:rPr>
                <w:rFonts w:ascii="仿宋" w:eastAsia="仿宋" w:hAnsi="仿宋" w:cs="仿宋" w:hint="eastAsia"/>
                <w:color w:val="000000"/>
                <w:sz w:val="30"/>
                <w:szCs w:val="30"/>
                <w:lang/>
              </w:rPr>
              <w:t>标准基于</w:t>
            </w:r>
            <w:r>
              <w:rPr>
                <w:rFonts w:ascii="仿宋" w:eastAsia="仿宋" w:hAnsi="仿宋" w:cs="仿宋" w:hint="eastAsia"/>
                <w:color w:val="000000"/>
                <w:sz w:val="30"/>
                <w:szCs w:val="30"/>
                <w:lang/>
              </w:rPr>
              <w:t xml:space="preserve">GB/T </w:t>
            </w:r>
            <w:r>
              <w:rPr>
                <w:rFonts w:ascii="仿宋" w:eastAsia="仿宋" w:hAnsi="仿宋" w:cs="仿宋" w:hint="eastAsia"/>
                <w:color w:val="000000"/>
                <w:sz w:val="30"/>
                <w:szCs w:val="30"/>
                <w:lang/>
              </w:rPr>
              <w:t>24067</w:t>
            </w:r>
            <w:r>
              <w:rPr>
                <w:rFonts w:ascii="仿宋" w:eastAsia="仿宋" w:hAnsi="仿宋" w:cs="仿宋" w:hint="eastAsia"/>
                <w:color w:val="000000"/>
                <w:sz w:val="30"/>
                <w:szCs w:val="30"/>
                <w:lang/>
              </w:rPr>
              <w:t>—</w:t>
            </w:r>
            <w:r>
              <w:rPr>
                <w:rFonts w:ascii="仿宋" w:eastAsia="仿宋" w:hAnsi="仿宋" w:cs="仿宋" w:hint="eastAsia"/>
                <w:color w:val="000000"/>
                <w:sz w:val="30"/>
                <w:szCs w:val="30"/>
                <w:lang/>
              </w:rPr>
              <w:t>2024</w:t>
            </w:r>
            <w:r>
              <w:rPr>
                <w:rFonts w:ascii="仿宋" w:eastAsia="仿宋" w:hAnsi="仿宋" w:cs="仿宋" w:hint="eastAsia"/>
                <w:color w:val="000000"/>
                <w:sz w:val="30"/>
                <w:szCs w:val="30"/>
                <w:lang/>
              </w:rPr>
              <w:t>《温室气体</w:t>
            </w:r>
            <w:r>
              <w:rPr>
                <w:rFonts w:ascii="仿宋" w:eastAsia="仿宋" w:hAnsi="仿宋" w:cs="仿宋" w:hint="eastAsia"/>
                <w:color w:val="000000"/>
                <w:sz w:val="30"/>
                <w:szCs w:val="30"/>
                <w:lang/>
              </w:rPr>
              <w:t xml:space="preserve"> </w:t>
            </w:r>
            <w:r>
              <w:rPr>
                <w:rFonts w:ascii="仿宋" w:eastAsia="仿宋" w:hAnsi="仿宋" w:cs="仿宋" w:hint="eastAsia"/>
                <w:color w:val="000000"/>
                <w:sz w:val="30"/>
                <w:szCs w:val="30"/>
                <w:lang/>
              </w:rPr>
              <w:t>产品碳足迹量化要求与指南》，结合加气混凝土砌块产品生产流程与生命周期特征，提出加气混凝土砌块产品碳足迹的量化方法与技术要求。标准内容涵盖碳足迹量化的目的与适用范围、系统边界与功能单位界定、活动数据收集与处理、碳排放因子选取、排放量计算方法、不确定性分析及结果通报等环节。通过对各阶段碳排放量的系统化量化和规范化表达，提升加气混凝土砌块产品碳足迹核算的科学性。</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lang/>
              </w:rPr>
            </w:pPr>
            <w:r>
              <w:rPr>
                <w:rFonts w:ascii="仿宋" w:eastAsia="仿宋" w:hAnsi="仿宋" w:cs="仿宋" w:hint="eastAsia"/>
                <w:color w:val="000000"/>
                <w:sz w:val="30"/>
                <w:szCs w:val="30"/>
                <w:lang/>
              </w:rPr>
              <w:t>中建西南咨询顾问有限公司等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lang/>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lang/>
              </w:rPr>
            </w:pPr>
            <w:r>
              <w:rPr>
                <w:rFonts w:ascii="仿宋" w:eastAsia="仿宋" w:hAnsi="仿宋" w:cs="仿宋" w:hint="eastAsia"/>
                <w:color w:val="000000"/>
                <w:sz w:val="30"/>
                <w:szCs w:val="30"/>
                <w:lang/>
              </w:rPr>
              <w:t>中国建筑业协会</w:t>
            </w:r>
          </w:p>
        </w:tc>
      </w:tr>
      <w:tr w:rsidR="00F053DD">
        <w:trPr>
          <w:cantSplit/>
          <w:trHeight w:val="369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3</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温室气体</w:t>
            </w:r>
            <w:r>
              <w:rPr>
                <w:rFonts w:ascii="仿宋" w:eastAsia="仿宋" w:hAnsi="仿宋" w:cs="仿宋" w:hint="eastAsia"/>
                <w:color w:val="000000"/>
                <w:sz w:val="30"/>
                <w:szCs w:val="30"/>
                <w:lang/>
              </w:rPr>
              <w:t>-</w:t>
            </w:r>
            <w:r>
              <w:rPr>
                <w:rFonts w:ascii="仿宋" w:eastAsia="仿宋" w:hAnsi="仿宋" w:cs="仿宋" w:hint="eastAsia"/>
                <w:color w:val="000000"/>
                <w:sz w:val="30"/>
                <w:szCs w:val="30"/>
                <w:lang/>
              </w:rPr>
              <w:t>产品碳足迹量化方法与要求</w:t>
            </w:r>
            <w:r>
              <w:rPr>
                <w:rFonts w:ascii="仿宋" w:eastAsia="仿宋" w:hAnsi="仿宋" w:cs="仿宋" w:hint="eastAsia"/>
                <w:color w:val="000000"/>
                <w:sz w:val="30"/>
                <w:szCs w:val="30"/>
                <w:lang/>
              </w:rPr>
              <w:t>-</w:t>
            </w:r>
            <w:r>
              <w:rPr>
                <w:rFonts w:ascii="仿宋" w:eastAsia="仿宋" w:hAnsi="仿宋" w:cs="仿宋" w:hint="eastAsia"/>
                <w:color w:val="000000"/>
                <w:sz w:val="30"/>
                <w:szCs w:val="30"/>
                <w:lang/>
              </w:rPr>
              <w:t>钢筋</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产品</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标准内容涵盖碳足迹量化的目的与适用范围、系统边界与功能单位界定、活动数据收集与处理、碳排放因子选取、排放量计算方法、不确定性分析及结果通报等环节。通过对各阶段碳排放量的系统化量化和规范化表达，提升钢筋产品碳足迹核算的科学性。适用于需要开展钢筋产品碳足迹核算及相关信息披露的企业，为建筑材料领域绿色低碳发展、绿色建材认证、绿色采购和“双碳”目标实现提供支撑。</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天府永兴实验室等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w:t>
            </w:r>
          </w:p>
        </w:tc>
      </w:tr>
      <w:tr w:rsidR="00F053DD">
        <w:trPr>
          <w:cantSplit/>
          <w:trHeight w:val="9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4</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温室气体</w:t>
            </w:r>
            <w:r>
              <w:rPr>
                <w:rFonts w:ascii="仿宋" w:eastAsia="仿宋" w:hAnsi="仿宋" w:cs="仿宋" w:hint="eastAsia"/>
                <w:color w:val="000000"/>
                <w:sz w:val="30"/>
                <w:szCs w:val="30"/>
                <w:lang/>
              </w:rPr>
              <w:t>-</w:t>
            </w:r>
            <w:r>
              <w:rPr>
                <w:rFonts w:ascii="仿宋" w:eastAsia="仿宋" w:hAnsi="仿宋" w:cs="仿宋" w:hint="eastAsia"/>
                <w:color w:val="000000"/>
                <w:sz w:val="30"/>
                <w:szCs w:val="30"/>
                <w:lang/>
              </w:rPr>
              <w:t>产品碳足迹量化方法与要求</w:t>
            </w:r>
            <w:r>
              <w:rPr>
                <w:rFonts w:ascii="仿宋" w:eastAsia="仿宋" w:hAnsi="仿宋" w:cs="仿宋" w:hint="eastAsia"/>
                <w:color w:val="000000"/>
                <w:sz w:val="30"/>
                <w:szCs w:val="30"/>
                <w:lang/>
              </w:rPr>
              <w:t>-EPS</w:t>
            </w:r>
            <w:r>
              <w:rPr>
                <w:rFonts w:ascii="仿宋" w:eastAsia="仿宋" w:hAnsi="仿宋" w:cs="仿宋" w:hint="eastAsia"/>
                <w:color w:val="000000"/>
                <w:sz w:val="30"/>
                <w:szCs w:val="30"/>
                <w:lang/>
              </w:rPr>
              <w:t>膨胀聚苯乙烯泡沫板</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产品</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标准基于</w:t>
            </w:r>
            <w:r>
              <w:rPr>
                <w:rFonts w:ascii="仿宋" w:eastAsia="仿宋" w:hAnsi="仿宋" w:cs="仿宋" w:hint="eastAsia"/>
                <w:color w:val="000000"/>
                <w:sz w:val="30"/>
                <w:szCs w:val="30"/>
                <w:lang/>
              </w:rPr>
              <w:t>GB/T 24067</w:t>
            </w:r>
            <w:r>
              <w:rPr>
                <w:rFonts w:ascii="仿宋" w:eastAsia="仿宋" w:hAnsi="仿宋" w:cs="仿宋" w:hint="eastAsia"/>
                <w:color w:val="000000"/>
                <w:sz w:val="30"/>
                <w:szCs w:val="30"/>
                <w:lang/>
              </w:rPr>
              <w:t>—</w:t>
            </w:r>
            <w:r>
              <w:rPr>
                <w:rFonts w:ascii="仿宋" w:eastAsia="仿宋" w:hAnsi="仿宋" w:cs="仿宋" w:hint="eastAsia"/>
                <w:color w:val="000000"/>
                <w:sz w:val="30"/>
                <w:szCs w:val="30"/>
                <w:lang/>
              </w:rPr>
              <w:t>2024</w:t>
            </w:r>
            <w:r>
              <w:rPr>
                <w:rFonts w:ascii="仿宋" w:eastAsia="仿宋" w:hAnsi="仿宋" w:cs="仿宋" w:hint="eastAsia"/>
                <w:color w:val="000000"/>
                <w:sz w:val="30"/>
                <w:szCs w:val="30"/>
                <w:lang/>
              </w:rPr>
              <w:t>《温室气体</w:t>
            </w:r>
            <w:r>
              <w:rPr>
                <w:rFonts w:ascii="仿宋" w:eastAsia="仿宋" w:hAnsi="仿宋" w:cs="仿宋" w:hint="eastAsia"/>
                <w:color w:val="000000"/>
                <w:sz w:val="30"/>
                <w:szCs w:val="30"/>
                <w:lang/>
              </w:rPr>
              <w:t xml:space="preserve"> </w:t>
            </w:r>
            <w:r>
              <w:rPr>
                <w:rFonts w:ascii="仿宋" w:eastAsia="仿宋" w:hAnsi="仿宋" w:cs="仿宋" w:hint="eastAsia"/>
                <w:color w:val="000000"/>
                <w:sz w:val="30"/>
                <w:szCs w:val="30"/>
                <w:lang/>
              </w:rPr>
              <w:t>产品碳足迹量化要求与指南》，结合</w:t>
            </w:r>
            <w:r>
              <w:rPr>
                <w:rFonts w:ascii="仿宋" w:eastAsia="仿宋" w:hAnsi="仿宋" w:cs="仿宋" w:hint="eastAsia"/>
                <w:color w:val="000000"/>
                <w:sz w:val="30"/>
                <w:szCs w:val="30"/>
                <w:lang/>
              </w:rPr>
              <w:t>EPS</w:t>
            </w:r>
            <w:r>
              <w:rPr>
                <w:rFonts w:ascii="仿宋" w:eastAsia="仿宋" w:hAnsi="仿宋" w:cs="仿宋" w:hint="eastAsia"/>
                <w:color w:val="000000"/>
                <w:sz w:val="30"/>
                <w:szCs w:val="30"/>
                <w:lang/>
              </w:rPr>
              <w:t>膨胀聚苯乙烯泡沫板产品生产流程与生命周期特征，提出</w:t>
            </w:r>
            <w:r>
              <w:rPr>
                <w:rFonts w:ascii="仿宋" w:eastAsia="仿宋" w:hAnsi="仿宋" w:cs="仿宋" w:hint="eastAsia"/>
                <w:color w:val="000000"/>
                <w:sz w:val="30"/>
                <w:szCs w:val="30"/>
                <w:lang/>
              </w:rPr>
              <w:t>EPS</w:t>
            </w:r>
            <w:r>
              <w:rPr>
                <w:rFonts w:ascii="仿宋" w:eastAsia="仿宋" w:hAnsi="仿宋" w:cs="仿宋" w:hint="eastAsia"/>
                <w:color w:val="000000"/>
                <w:sz w:val="30"/>
                <w:szCs w:val="30"/>
                <w:lang/>
              </w:rPr>
              <w:t>膨胀聚苯乙烯泡沫板产品碳足迹的量化方法与技术要求。标准内容涵盖碳足迹量化的目的与适用范围、系统边界与功能单位界定、活动数据收集与处理、碳排放因子选取、排放量计算方法、不确定性分析及结果通报等环节。通过对各阶段碳排放量的系统化量化和规范化表达，提升</w:t>
            </w:r>
            <w:r>
              <w:rPr>
                <w:rFonts w:ascii="仿宋" w:eastAsia="仿宋" w:hAnsi="仿宋" w:cs="仿宋" w:hint="eastAsia"/>
                <w:color w:val="000000"/>
                <w:sz w:val="30"/>
                <w:szCs w:val="30"/>
                <w:lang/>
              </w:rPr>
              <w:t>EPS</w:t>
            </w:r>
            <w:r>
              <w:rPr>
                <w:rFonts w:ascii="仿宋" w:eastAsia="仿宋" w:hAnsi="仿宋" w:cs="仿宋" w:hint="eastAsia"/>
                <w:color w:val="000000"/>
                <w:sz w:val="30"/>
                <w:szCs w:val="30"/>
                <w:lang/>
              </w:rPr>
              <w:t>膨胀聚苯乙烯泡沫板产品碳足迹核算的科学性。</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中建西南咨询顾问有限公司等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w:t>
            </w:r>
          </w:p>
        </w:tc>
      </w:tr>
      <w:tr w:rsidR="00F053DD">
        <w:trPr>
          <w:cantSplit/>
          <w:trHeight w:val="383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5</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建设工程人工材料设备机械数据分类标准及编码规则</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修订（原编号</w:t>
            </w:r>
            <w:r>
              <w:rPr>
                <w:rFonts w:ascii="仿宋" w:eastAsia="仿宋" w:hAnsi="仿宋" w:cs="仿宋" w:hint="eastAsia"/>
                <w:color w:val="000000"/>
                <w:sz w:val="30"/>
                <w:szCs w:val="30"/>
                <w:lang/>
              </w:rPr>
              <w:t>T/CCIAT 0040-2021</w:t>
            </w:r>
            <w:r>
              <w:rPr>
                <w:rFonts w:ascii="仿宋" w:eastAsia="仿宋" w:hAnsi="仿宋" w:cs="仿宋" w:hint="eastAsia"/>
                <w:color w:val="000000"/>
                <w:sz w:val="30"/>
                <w:szCs w:val="30"/>
                <w:lang/>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标准建立了建设工程领域</w:t>
            </w:r>
            <w:r>
              <w:rPr>
                <w:rFonts w:ascii="仿宋" w:eastAsia="仿宋" w:hAnsi="仿宋" w:cs="仿宋" w:hint="eastAsia"/>
                <w:color w:val="000000"/>
                <w:sz w:val="30"/>
                <w:szCs w:val="30"/>
                <w:lang/>
              </w:rPr>
              <w:t xml:space="preserve"> </w:t>
            </w:r>
            <w:r>
              <w:rPr>
                <w:rFonts w:ascii="仿宋" w:eastAsia="仿宋" w:hAnsi="仿宋" w:cs="仿宋" w:hint="eastAsia"/>
                <w:color w:val="000000"/>
                <w:sz w:val="30"/>
                <w:szCs w:val="30"/>
                <w:lang/>
              </w:rPr>
              <w:t>人工、材料、设备、机械</w:t>
            </w:r>
            <w:r>
              <w:rPr>
                <w:rFonts w:ascii="仿宋" w:eastAsia="仿宋" w:hAnsi="仿宋" w:cs="仿宋" w:hint="eastAsia"/>
                <w:color w:val="000000"/>
                <w:sz w:val="30"/>
                <w:szCs w:val="30"/>
                <w:lang/>
              </w:rPr>
              <w:t xml:space="preserve"> </w:t>
            </w:r>
            <w:r>
              <w:rPr>
                <w:rFonts w:ascii="仿宋" w:eastAsia="仿宋" w:hAnsi="仿宋" w:cs="仿宋" w:hint="eastAsia"/>
                <w:color w:val="000000"/>
                <w:sz w:val="30"/>
                <w:szCs w:val="30"/>
                <w:lang/>
              </w:rPr>
              <w:t>四大类数据的统一分类体系与编码规则，通过</w:t>
            </w:r>
            <w:r>
              <w:rPr>
                <w:rFonts w:ascii="仿宋" w:eastAsia="仿宋" w:hAnsi="仿宋" w:cs="仿宋" w:hint="eastAsia"/>
                <w:color w:val="000000"/>
                <w:sz w:val="30"/>
                <w:szCs w:val="30"/>
                <w:lang/>
              </w:rPr>
              <w:t>6-8</w:t>
            </w:r>
            <w:r>
              <w:rPr>
                <w:rFonts w:ascii="仿宋" w:eastAsia="仿宋" w:hAnsi="仿宋" w:cs="仿宋" w:hint="eastAsia"/>
                <w:color w:val="000000"/>
                <w:sz w:val="30"/>
                <w:szCs w:val="30"/>
                <w:lang/>
              </w:rPr>
              <w:t>位层级分类码（前</w:t>
            </w:r>
            <w:r>
              <w:rPr>
                <w:rFonts w:ascii="仿宋" w:eastAsia="仿宋" w:hAnsi="仿宋" w:cs="仿宋" w:hint="eastAsia"/>
                <w:color w:val="000000"/>
                <w:sz w:val="30"/>
                <w:szCs w:val="30"/>
                <w:lang/>
              </w:rPr>
              <w:t>2</w:t>
            </w:r>
            <w:r>
              <w:rPr>
                <w:rFonts w:ascii="仿宋" w:eastAsia="仿宋" w:hAnsi="仿宋" w:cs="仿宋" w:hint="eastAsia"/>
                <w:color w:val="000000"/>
                <w:sz w:val="30"/>
                <w:szCs w:val="30"/>
                <w:lang/>
              </w:rPr>
              <w:t>位大类、中</w:t>
            </w:r>
            <w:r>
              <w:rPr>
                <w:rFonts w:ascii="仿宋" w:eastAsia="仿宋" w:hAnsi="仿宋" w:cs="仿宋" w:hint="eastAsia"/>
                <w:color w:val="000000"/>
                <w:sz w:val="30"/>
                <w:szCs w:val="30"/>
                <w:lang/>
              </w:rPr>
              <w:t>2</w:t>
            </w:r>
            <w:r>
              <w:rPr>
                <w:rFonts w:ascii="仿宋" w:eastAsia="仿宋" w:hAnsi="仿宋" w:cs="仿宋" w:hint="eastAsia"/>
                <w:color w:val="000000"/>
                <w:sz w:val="30"/>
                <w:szCs w:val="30"/>
                <w:lang/>
              </w:rPr>
              <w:t>位二级子类类、后</w:t>
            </w:r>
            <w:r>
              <w:rPr>
                <w:rFonts w:ascii="仿宋" w:eastAsia="仿宋" w:hAnsi="仿宋" w:cs="仿宋" w:hint="eastAsia"/>
                <w:color w:val="000000"/>
                <w:sz w:val="30"/>
                <w:szCs w:val="30"/>
                <w:lang/>
              </w:rPr>
              <w:t>4</w:t>
            </w:r>
            <w:r>
              <w:rPr>
                <w:rFonts w:ascii="仿宋" w:eastAsia="仿宋" w:hAnsi="仿宋" w:cs="仿宋" w:hint="eastAsia"/>
                <w:color w:val="000000"/>
                <w:sz w:val="30"/>
                <w:szCs w:val="30"/>
                <w:lang/>
              </w:rPr>
              <w:t>位是三或者四级子类与特征属性）实现数据标准化，旨在解决行业，为工程造价、物资采购及</w:t>
            </w:r>
            <w:r>
              <w:rPr>
                <w:rFonts w:ascii="仿宋" w:eastAsia="仿宋" w:hAnsi="仿宋" w:cs="仿宋" w:hint="eastAsia"/>
                <w:color w:val="000000"/>
                <w:sz w:val="30"/>
                <w:szCs w:val="30"/>
                <w:lang/>
              </w:rPr>
              <w:t>BIM</w:t>
            </w:r>
            <w:r>
              <w:rPr>
                <w:rFonts w:ascii="仿宋" w:eastAsia="仿宋" w:hAnsi="仿宋" w:cs="仿宋" w:hint="eastAsia"/>
                <w:color w:val="000000"/>
                <w:sz w:val="30"/>
                <w:szCs w:val="30"/>
                <w:lang/>
              </w:rPr>
              <w:t>等数字化应用提供基础数据支撑，推动工程建设全链条信息互联互通。</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北京市建筑业联合会等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北京市建筑业联合会</w:t>
            </w:r>
          </w:p>
        </w:tc>
      </w:tr>
      <w:tr w:rsidR="00F053DD">
        <w:trPr>
          <w:cantSplit/>
          <w:trHeight w:val="332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6</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建筑工程运维信息模型建模深度和编码标准</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为加快推进建筑信息模型在运维阶段的标准化应用，规范运维阶段建筑信息模型的构件深度和编码体系，提高建筑信息模型的应用效率，特制定本标准。标准基于商办楼宇的民用建筑项目，在通用的智慧楼宇运维场景下，围绕建筑信息模型的模型精细度以及编码体系建设展开标准编写工作，旨在突出运维阶段建筑信息模型的标准化实施、数字化交付作用。</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上海建工集团股份有限公司等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上海市建筑施工行业协会</w:t>
            </w:r>
          </w:p>
        </w:tc>
      </w:tr>
      <w:tr w:rsidR="00F053DD">
        <w:trPr>
          <w:cantSplit/>
          <w:trHeight w:val="377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7</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工程建设质量管理小组成果等级评价准则</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主要内容有：</w:t>
            </w:r>
            <w:r>
              <w:rPr>
                <w:rFonts w:ascii="仿宋" w:eastAsia="仿宋" w:hAnsi="仿宋" w:cs="仿宋" w:hint="eastAsia"/>
                <w:color w:val="000000"/>
                <w:sz w:val="30"/>
                <w:szCs w:val="30"/>
                <w:lang/>
              </w:rPr>
              <w:t xml:space="preserve"> 1 </w:t>
            </w:r>
            <w:r>
              <w:rPr>
                <w:rFonts w:ascii="仿宋" w:eastAsia="仿宋" w:hAnsi="仿宋" w:cs="仿宋" w:hint="eastAsia"/>
                <w:color w:val="000000"/>
                <w:sz w:val="30"/>
                <w:szCs w:val="30"/>
                <w:lang/>
              </w:rPr>
              <w:t>明确基本规定，编制评价流程、评价原则；</w:t>
            </w:r>
            <w:r>
              <w:rPr>
                <w:rFonts w:ascii="仿宋" w:eastAsia="仿宋" w:hAnsi="仿宋" w:cs="仿宋" w:hint="eastAsia"/>
                <w:color w:val="000000"/>
                <w:sz w:val="30"/>
                <w:szCs w:val="30"/>
                <w:lang/>
              </w:rPr>
              <w:t xml:space="preserve"> 2 </w:t>
            </w:r>
            <w:r>
              <w:rPr>
                <w:rFonts w:ascii="仿宋" w:eastAsia="仿宋" w:hAnsi="仿宋" w:cs="仿宋" w:hint="eastAsia"/>
                <w:color w:val="000000"/>
                <w:sz w:val="30"/>
                <w:szCs w:val="30"/>
                <w:lang/>
              </w:rPr>
              <w:t>明确成果申报，规范质量管理小组活动成果申报的途径，明确申报成果的条件、格式要求、推荐单位；</w:t>
            </w:r>
            <w:r>
              <w:rPr>
                <w:rFonts w:ascii="仿宋" w:eastAsia="仿宋" w:hAnsi="仿宋" w:cs="仿宋" w:hint="eastAsia"/>
                <w:color w:val="000000"/>
                <w:sz w:val="30"/>
                <w:szCs w:val="30"/>
                <w:lang/>
              </w:rPr>
              <w:t xml:space="preserve"> 3 </w:t>
            </w:r>
            <w:r>
              <w:rPr>
                <w:rFonts w:ascii="仿宋" w:eastAsia="仿宋" w:hAnsi="仿宋" w:cs="仿宋" w:hint="eastAsia"/>
                <w:color w:val="000000"/>
                <w:sz w:val="30"/>
                <w:szCs w:val="30"/>
                <w:lang/>
              </w:rPr>
              <w:t>明确评价要求，规范成果初审、成果形成过程评价和成果实际价值评价；</w:t>
            </w:r>
            <w:r>
              <w:rPr>
                <w:rFonts w:ascii="仿宋" w:eastAsia="仿宋" w:hAnsi="仿宋" w:cs="仿宋" w:hint="eastAsia"/>
                <w:color w:val="000000"/>
                <w:sz w:val="30"/>
                <w:szCs w:val="30"/>
                <w:lang/>
              </w:rPr>
              <w:t xml:space="preserve"> 4 </w:t>
            </w:r>
            <w:r>
              <w:rPr>
                <w:rFonts w:ascii="仿宋" w:eastAsia="仿宋" w:hAnsi="仿宋" w:cs="仿宋" w:hint="eastAsia"/>
                <w:color w:val="000000"/>
                <w:sz w:val="30"/>
                <w:szCs w:val="30"/>
                <w:lang/>
              </w:rPr>
              <w:t>评价人员管理，明确评价人员要求，专家库管理要求，明确评价人员自律要求。</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中国建筑业协会质量管理与监督检测分会等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中国建筑业协会质量管理与监督检测分会</w:t>
            </w:r>
          </w:p>
        </w:tc>
      </w:tr>
      <w:tr w:rsidR="00F053DD">
        <w:trPr>
          <w:cantSplit/>
          <w:trHeight w:val="9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8</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地面整平机器人操作员职业技能标准</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标准对地面整平机器人操作员在混凝土浇筑整平过程操作设备时的职业技能等级、申报条件、评定方式等方面的工作内容和要求，旨在评估操作员在相关领域的职业技能水平工作内容和要求，为相关的施工单位、劳务单位、生产单位、管理单位提供相关的标准依据。</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中国建筑业协会中小企业与供应链分会等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中国建筑业协会中小企业与供应链分会</w:t>
            </w:r>
          </w:p>
        </w:tc>
      </w:tr>
      <w:tr w:rsidR="00F053DD">
        <w:trPr>
          <w:cantSplit/>
          <w:trHeight w:val="9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9</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室内喷涂机器人操作员职业技能标准</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标准对室内喷涂机器人操作人员在室内装修喷涂乳胶漆过程中操作设备时的职业技能等级、申报条件、评定方式等方面的工作内容和要求，旨在评估操作员在相关领域的职业技能水平工作内容和要求，为相关的施工单位、劳务单位、生产单位、管理单位提供相关的标准依据。</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中国建筑业协会中小企业与供应链分会等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中国建筑业协会中小企业与供应链分会</w:t>
            </w:r>
          </w:p>
        </w:tc>
      </w:tr>
      <w:tr w:rsidR="00F053DD">
        <w:trPr>
          <w:cantSplit/>
          <w:trHeight w:val="447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10</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城市基础设施生命线工程运营安全监测技术规程</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标准在编制过程中集聚业界主流产学研单位资源，梳理城市生命线安全工程监测运行流程，以“基础统领、应用牵引”为原则，不断提炼梳理新增的可能是城市生命线安全监测运行标准化需求，明确城市生命线安全工程监测运营标准框架和内容，实现监测运营职责有分工、日常运行监测和响立处置有标准、分析研判有依据，做到有序、可靠的运营监测和管理管控，充分保障城市安全，增强城市韧性。</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中建三局安装工程有限公司等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中国建筑业协会绿色建造与智能建筑分会</w:t>
            </w:r>
          </w:p>
        </w:tc>
      </w:tr>
      <w:tr w:rsidR="00F053DD">
        <w:trPr>
          <w:cantSplit/>
          <w:trHeight w:val="499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11</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夏热冬冷地区产业园区绿色建设评价标准</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针对夏热冬冷地区产业园区及建筑项目，从建设单位视角出发，以投资收益综合价值为导向，构建绿色低碳技术体系，形成绿色建设评价标准。一方面，根据投资收益综合价值，建立技术分级方法，将绿色低碳技术划分为基础级、效益级、品质级、示范级四个类别。一方面，根据不同等级绿色低碳技术应用情况，将产业园区及建筑项目的绿色建设等级划分为基础级、推广级、示范级。</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苏州城市建设投资发展（集团）有限公司等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中国建筑业协会绿色建造与智能建筑分会</w:t>
            </w:r>
          </w:p>
        </w:tc>
      </w:tr>
      <w:tr w:rsidR="00F053DD">
        <w:trPr>
          <w:cantSplit/>
          <w:trHeight w:val="856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12</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智慧园区以太全光网络建设技术规程</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修订（原编号</w:t>
            </w:r>
            <w:r>
              <w:rPr>
                <w:rFonts w:ascii="仿宋" w:eastAsia="仿宋" w:hAnsi="仿宋" w:cs="仿宋" w:hint="eastAsia"/>
                <w:color w:val="000000"/>
                <w:sz w:val="30"/>
                <w:szCs w:val="30"/>
                <w:lang/>
              </w:rPr>
              <w:t>T/CCIAT0044-2022</w:t>
            </w:r>
            <w:r>
              <w:rPr>
                <w:rFonts w:ascii="仿宋" w:eastAsia="仿宋" w:hAnsi="仿宋" w:cs="仿宋" w:hint="eastAsia"/>
                <w:color w:val="000000"/>
                <w:sz w:val="30"/>
                <w:szCs w:val="30"/>
                <w:lang/>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随着技术的不断进步，光的新技术的快速发展，行业将波分复用技术（</w:t>
            </w:r>
            <w:r>
              <w:rPr>
                <w:rFonts w:ascii="仿宋" w:eastAsia="仿宋" w:hAnsi="仿宋" w:cs="仿宋" w:hint="eastAsia"/>
                <w:color w:val="000000"/>
                <w:sz w:val="30"/>
                <w:szCs w:val="30"/>
                <w:lang/>
              </w:rPr>
              <w:t>WDM</w:t>
            </w:r>
            <w:r>
              <w:rPr>
                <w:rFonts w:ascii="仿宋" w:eastAsia="仿宋" w:hAnsi="仿宋" w:cs="仿宋" w:hint="eastAsia"/>
                <w:color w:val="000000"/>
                <w:sz w:val="30"/>
                <w:szCs w:val="30"/>
                <w:lang/>
              </w:rPr>
              <w:t>），即彩光技术被引入到园区网中，将彩光技术与以太全光架构相结合，实现了二层组网结构，以无源透明汇聚替代原有楼栋有源汇聚，实现了汇聚节点彻底无源，楼层弱电井道零维护，得到了行业的高度认同。</w:t>
            </w:r>
            <w:r>
              <w:rPr>
                <w:rFonts w:ascii="仿宋" w:eastAsia="仿宋" w:hAnsi="仿宋" w:cs="仿宋" w:hint="eastAsia"/>
                <w:color w:val="000000"/>
                <w:sz w:val="30"/>
                <w:szCs w:val="30"/>
                <w:lang/>
              </w:rPr>
              <w:t xml:space="preserve"> </w:t>
            </w:r>
            <w:r>
              <w:rPr>
                <w:rFonts w:ascii="仿宋" w:eastAsia="仿宋" w:hAnsi="仿宋" w:cs="仿宋" w:hint="eastAsia"/>
                <w:color w:val="000000"/>
                <w:sz w:val="30"/>
                <w:szCs w:val="30"/>
                <w:lang/>
              </w:rPr>
              <w:t>原有《规程》中光纤入室涉及到的技术为传统光纤入室方案，《规程》编制组进行了广泛、深入的调查研究之后，认为需依据行业发展、技术进步及应用实践，补充万兆以太全光网络等相关内容，使得《规程》再次成为以太全</w:t>
            </w:r>
            <w:r>
              <w:rPr>
                <w:rFonts w:ascii="仿宋" w:eastAsia="仿宋" w:hAnsi="仿宋" w:cs="仿宋" w:hint="eastAsia"/>
                <w:color w:val="000000"/>
                <w:sz w:val="30"/>
                <w:szCs w:val="30"/>
                <w:lang/>
              </w:rPr>
              <w:t>光网络进行再次创新的起点和源泉。</w:t>
            </w:r>
            <w:r>
              <w:rPr>
                <w:rFonts w:ascii="仿宋" w:eastAsia="仿宋" w:hAnsi="仿宋" w:cs="仿宋" w:hint="eastAsia"/>
                <w:color w:val="000000"/>
                <w:sz w:val="30"/>
                <w:szCs w:val="30"/>
                <w:lang/>
              </w:rPr>
              <w:t xml:space="preserve"> </w:t>
            </w:r>
            <w:r>
              <w:rPr>
                <w:rFonts w:ascii="仿宋" w:eastAsia="仿宋" w:hAnsi="仿宋" w:cs="仿宋" w:hint="eastAsia"/>
                <w:color w:val="000000"/>
                <w:sz w:val="30"/>
                <w:szCs w:val="30"/>
                <w:lang/>
              </w:rPr>
              <w:t>本《规程》修订后的内容包括：术语及缩略语、系统设计、系统配置、设备用房与布线的设计、施工安装、检测及验收等。</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华南理工大学建筑设计研究院等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中国建筑业协会绿色建造与智能建筑分会</w:t>
            </w:r>
          </w:p>
        </w:tc>
      </w:tr>
      <w:tr w:rsidR="00F053DD">
        <w:trPr>
          <w:cantSplit/>
          <w:trHeight w:val="687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13</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施工项目客户满意度与服务管理标准</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标准以施工项目顾客满意度为焦点，创新客户满意与服务管理模式，特别是从施工项目实施延伸到项目交付后客户服务与满意度测量，开辟了工程建设项目管理的新赛道。标准的主要内容包括：</w:t>
            </w:r>
            <w:r>
              <w:rPr>
                <w:rFonts w:ascii="仿宋" w:eastAsia="仿宋" w:hAnsi="仿宋" w:cs="仿宋" w:hint="eastAsia"/>
                <w:color w:val="000000"/>
                <w:sz w:val="30"/>
                <w:szCs w:val="30"/>
                <w:lang/>
              </w:rPr>
              <w:t>1.</w:t>
            </w:r>
            <w:r>
              <w:rPr>
                <w:rFonts w:ascii="仿宋" w:eastAsia="仿宋" w:hAnsi="仿宋" w:cs="仿宋" w:hint="eastAsia"/>
                <w:color w:val="000000"/>
                <w:sz w:val="30"/>
                <w:szCs w:val="30"/>
                <w:lang/>
              </w:rPr>
              <w:t>总则；</w:t>
            </w:r>
            <w:r>
              <w:rPr>
                <w:rFonts w:ascii="仿宋" w:eastAsia="仿宋" w:hAnsi="仿宋" w:cs="仿宋" w:hint="eastAsia"/>
                <w:color w:val="000000"/>
                <w:sz w:val="30"/>
                <w:szCs w:val="30"/>
                <w:lang/>
              </w:rPr>
              <w:t>2.</w:t>
            </w:r>
            <w:r>
              <w:rPr>
                <w:rFonts w:ascii="仿宋" w:eastAsia="仿宋" w:hAnsi="仿宋" w:cs="仿宋" w:hint="eastAsia"/>
                <w:color w:val="000000"/>
                <w:sz w:val="30"/>
                <w:szCs w:val="30"/>
                <w:lang/>
              </w:rPr>
              <w:t>术语；</w:t>
            </w:r>
            <w:r>
              <w:rPr>
                <w:rFonts w:ascii="仿宋" w:eastAsia="仿宋" w:hAnsi="仿宋" w:cs="仿宋" w:hint="eastAsia"/>
                <w:color w:val="000000"/>
                <w:sz w:val="30"/>
                <w:szCs w:val="30"/>
                <w:lang/>
              </w:rPr>
              <w:t>3.</w:t>
            </w:r>
            <w:r>
              <w:rPr>
                <w:rFonts w:ascii="仿宋" w:eastAsia="仿宋" w:hAnsi="仿宋" w:cs="仿宋" w:hint="eastAsia"/>
                <w:color w:val="000000"/>
                <w:sz w:val="30"/>
                <w:szCs w:val="30"/>
                <w:lang/>
              </w:rPr>
              <w:t>基本要求；</w:t>
            </w:r>
            <w:r>
              <w:rPr>
                <w:rFonts w:ascii="仿宋" w:eastAsia="仿宋" w:hAnsi="仿宋" w:cs="仿宋" w:hint="eastAsia"/>
                <w:color w:val="000000"/>
                <w:sz w:val="30"/>
                <w:szCs w:val="30"/>
                <w:lang/>
              </w:rPr>
              <w:t>4.</w:t>
            </w:r>
            <w:r>
              <w:rPr>
                <w:rFonts w:ascii="仿宋" w:eastAsia="仿宋" w:hAnsi="仿宋" w:cs="仿宋" w:hint="eastAsia"/>
                <w:color w:val="000000"/>
                <w:sz w:val="30"/>
                <w:szCs w:val="30"/>
                <w:lang/>
              </w:rPr>
              <w:t>施工项目客户满意感受；</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施工项目服务管理；</w:t>
            </w:r>
            <w:r>
              <w:rPr>
                <w:rFonts w:ascii="仿宋" w:eastAsia="仿宋" w:hAnsi="仿宋" w:cs="仿宋" w:hint="eastAsia"/>
                <w:color w:val="000000"/>
                <w:sz w:val="30"/>
                <w:szCs w:val="30"/>
                <w:lang/>
              </w:rPr>
              <w:t>6.</w:t>
            </w:r>
            <w:r>
              <w:rPr>
                <w:rFonts w:ascii="仿宋" w:eastAsia="仿宋" w:hAnsi="仿宋" w:cs="仿宋" w:hint="eastAsia"/>
                <w:color w:val="000000"/>
                <w:sz w:val="30"/>
                <w:szCs w:val="30"/>
                <w:lang/>
              </w:rPr>
              <w:t>施工项目客户满意测量与评价；</w:t>
            </w:r>
            <w:r>
              <w:rPr>
                <w:rFonts w:ascii="仿宋" w:eastAsia="仿宋" w:hAnsi="仿宋" w:cs="仿宋" w:hint="eastAsia"/>
                <w:color w:val="000000"/>
                <w:sz w:val="30"/>
                <w:szCs w:val="30"/>
                <w:lang/>
              </w:rPr>
              <w:t>7.</w:t>
            </w:r>
            <w:r>
              <w:rPr>
                <w:rFonts w:ascii="仿宋" w:eastAsia="仿宋" w:hAnsi="仿宋" w:cs="仿宋" w:hint="eastAsia"/>
                <w:color w:val="000000"/>
                <w:sz w:val="30"/>
                <w:szCs w:val="30"/>
                <w:lang/>
              </w:rPr>
              <w:t>客户感受评价方法；</w:t>
            </w:r>
            <w:r>
              <w:rPr>
                <w:rFonts w:ascii="仿宋" w:eastAsia="仿宋" w:hAnsi="仿宋" w:cs="仿宋" w:hint="eastAsia"/>
                <w:color w:val="000000"/>
                <w:sz w:val="30"/>
                <w:szCs w:val="30"/>
                <w:lang/>
              </w:rPr>
              <w:t>8.</w:t>
            </w:r>
            <w:r>
              <w:rPr>
                <w:rFonts w:ascii="仿宋" w:eastAsia="仿宋" w:hAnsi="仿宋" w:cs="仿宋" w:hint="eastAsia"/>
                <w:color w:val="000000"/>
                <w:sz w:val="30"/>
                <w:szCs w:val="30"/>
                <w:lang/>
              </w:rPr>
              <w:t>服务过程（措施）绩效满意评价方法；</w:t>
            </w:r>
            <w:r>
              <w:rPr>
                <w:rFonts w:ascii="仿宋" w:eastAsia="仿宋" w:hAnsi="仿宋" w:cs="仿宋" w:hint="eastAsia"/>
                <w:color w:val="000000"/>
                <w:sz w:val="30"/>
                <w:szCs w:val="30"/>
                <w:lang/>
              </w:rPr>
              <w:t>9.</w:t>
            </w:r>
            <w:r>
              <w:rPr>
                <w:rFonts w:ascii="仿宋" w:eastAsia="仿宋" w:hAnsi="仿宋" w:cs="仿宋" w:hint="eastAsia"/>
                <w:color w:val="000000"/>
                <w:sz w:val="30"/>
                <w:szCs w:val="30"/>
                <w:lang/>
              </w:rPr>
              <w:t>客户满意评价成果应用；</w:t>
            </w:r>
            <w:r>
              <w:rPr>
                <w:rFonts w:ascii="仿宋" w:eastAsia="仿宋" w:hAnsi="仿宋" w:cs="仿宋" w:hint="eastAsia"/>
                <w:color w:val="000000"/>
                <w:sz w:val="30"/>
                <w:szCs w:val="30"/>
                <w:lang/>
              </w:rPr>
              <w:t>10.</w:t>
            </w:r>
            <w:r>
              <w:rPr>
                <w:rFonts w:ascii="仿宋" w:eastAsia="仿宋" w:hAnsi="仿宋" w:cs="仿宋" w:hint="eastAsia"/>
                <w:color w:val="000000"/>
                <w:sz w:val="30"/>
                <w:szCs w:val="30"/>
                <w:lang/>
              </w:rPr>
              <w:t>评价表格</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中国建筑业协会工程项目管理与建造师分会等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中国建筑业协会工程项目管理与建造师分会</w:t>
            </w:r>
          </w:p>
        </w:tc>
      </w:tr>
      <w:tr w:rsidR="00F053DD">
        <w:trPr>
          <w:cantSplit/>
          <w:trHeight w:val="652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14</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高湿高盐环境混凝土加固用稀土复合粉末渗锌螺纹钢防腐技术规程</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通过在渗锌剂中加入稀土元素，如二氧化铈等，能够提高渗速或降低渗入温度，改善渗层质量，形成稀土复合粉末渗锌技术。国家钢铁协会科创委成立</w:t>
            </w:r>
            <w:r>
              <w:rPr>
                <w:rFonts w:ascii="仿宋" w:eastAsia="仿宋" w:hAnsi="仿宋" w:cs="仿宋" w:hint="eastAsia"/>
                <w:color w:val="000000"/>
                <w:sz w:val="30"/>
                <w:szCs w:val="30"/>
                <w:lang/>
              </w:rPr>
              <w:t xml:space="preserve"> </w:t>
            </w:r>
            <w:r>
              <w:rPr>
                <w:rFonts w:ascii="仿宋" w:eastAsia="仿宋" w:hAnsi="仿宋" w:cs="仿宋" w:hint="eastAsia"/>
                <w:color w:val="000000"/>
                <w:sz w:val="30"/>
                <w:szCs w:val="30"/>
                <w:lang/>
              </w:rPr>
              <w:t>“耐腐蚀螺纹钢共性技术创新平台”，开发出稀土耐蚀螺纹钢，其耐腐蚀性能比普通螺纹钢提高</w:t>
            </w:r>
            <w:r>
              <w:rPr>
                <w:rFonts w:ascii="仿宋" w:eastAsia="仿宋" w:hAnsi="仿宋" w:cs="仿宋" w:hint="eastAsia"/>
                <w:color w:val="000000"/>
                <w:sz w:val="30"/>
                <w:szCs w:val="30"/>
                <w:lang/>
              </w:rPr>
              <w:t xml:space="preserve"> 30% - 50%</w:t>
            </w:r>
            <w:r>
              <w:rPr>
                <w:rFonts w:ascii="仿宋" w:eastAsia="仿宋" w:hAnsi="仿宋" w:cs="仿宋" w:hint="eastAsia"/>
                <w:color w:val="000000"/>
                <w:sz w:val="30"/>
                <w:szCs w:val="30"/>
                <w:lang/>
              </w:rPr>
              <w:t>，且已在部分工程中应用。</w:t>
            </w:r>
            <w:r>
              <w:rPr>
                <w:rFonts w:ascii="仿宋" w:eastAsia="仿宋" w:hAnsi="仿宋" w:cs="仿宋" w:hint="eastAsia"/>
                <w:color w:val="000000"/>
                <w:sz w:val="30"/>
                <w:szCs w:val="30"/>
                <w:lang/>
              </w:rPr>
              <w:t xml:space="preserve">     </w:t>
            </w:r>
            <w:r>
              <w:rPr>
                <w:rFonts w:ascii="仿宋" w:eastAsia="仿宋" w:hAnsi="仿宋" w:cs="仿宋" w:hint="eastAsia"/>
                <w:color w:val="000000"/>
                <w:sz w:val="30"/>
                <w:szCs w:val="30"/>
                <w:lang/>
              </w:rPr>
              <w:br/>
            </w:r>
            <w:r>
              <w:rPr>
                <w:rFonts w:ascii="仿宋" w:eastAsia="仿宋" w:hAnsi="仿宋" w:cs="仿宋" w:hint="eastAsia"/>
                <w:color w:val="000000"/>
                <w:sz w:val="30"/>
                <w:szCs w:val="30"/>
                <w:lang/>
              </w:rPr>
              <w:t>稀土复合粉末渗锌螺纹钢渗锌处理是通过高温下锌原子与钢铁基体原子相互扩散和固相反应形成锌</w:t>
            </w:r>
            <w:r>
              <w:rPr>
                <w:rFonts w:ascii="仿宋" w:eastAsia="仿宋" w:hAnsi="仿宋" w:cs="仿宋" w:hint="eastAsia"/>
                <w:color w:val="000000"/>
                <w:sz w:val="30"/>
                <w:szCs w:val="30"/>
                <w:lang/>
              </w:rPr>
              <w:t>-</w:t>
            </w:r>
            <w:r>
              <w:rPr>
                <w:rFonts w:ascii="仿宋" w:eastAsia="仿宋" w:hAnsi="仿宋" w:cs="仿宋" w:hint="eastAsia"/>
                <w:color w:val="000000"/>
                <w:sz w:val="30"/>
                <w:szCs w:val="30"/>
                <w:lang/>
              </w:rPr>
              <w:t>铁合金层的过程，其核心步骤需兼顾预处理、渗锌扩散反应</w:t>
            </w:r>
            <w:bookmarkStart w:id="0" w:name="_GoBack"/>
            <w:bookmarkEnd w:id="0"/>
            <w:r>
              <w:rPr>
                <w:rFonts w:ascii="仿宋" w:eastAsia="仿宋" w:hAnsi="仿宋" w:cs="仿宋" w:hint="eastAsia"/>
                <w:color w:val="000000"/>
                <w:sz w:val="30"/>
                <w:szCs w:val="30"/>
                <w:lang/>
              </w:rPr>
              <w:t>和固相反应及后处理，以确保渗锌层的均匀性、结合强度和防腐性能。</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天津市文利通达金属表面处理有限公司等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中国建筑业协会钢木建筑分会</w:t>
            </w:r>
          </w:p>
        </w:tc>
      </w:tr>
      <w:tr w:rsidR="00F053DD">
        <w:trPr>
          <w:cantSplit/>
          <w:trHeight w:val="327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15</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装配式钢丝绳套竖缝连接纵肋叠合剪力墙结构技术规程</w:t>
            </w:r>
            <w:r>
              <w:rPr>
                <w:rFonts w:ascii="仿宋" w:eastAsia="仿宋" w:hAnsi="仿宋" w:cs="仿宋" w:hint="eastAsia"/>
                <w:color w:val="000000"/>
                <w:sz w:val="30"/>
                <w:szCs w:val="30"/>
                <w:lang/>
              </w:rPr>
              <w:t xml:space="preserve"> </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规程主要编制内容为高强钢丝绳套竖缝高效连接的装配式纵肋叠合剪力墙创新技术，涵盖材料与配件、建筑设计、结构设计、工业化生产制备、高效施工以及安全验收等主要章节内容，侧重现行国家标准、行业标准与团体标准无法涵盖的创新技术相关指标与规定，可形成完整的技术闭环，有力支撑该技术工程应用。</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北京市住宅产业化集团股份有限公司等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中国建筑业协会钢木建筑分会</w:t>
            </w:r>
          </w:p>
        </w:tc>
      </w:tr>
      <w:tr w:rsidR="00F053DD">
        <w:trPr>
          <w:cantSplit/>
          <w:trHeight w:val="415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16</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混凝土搅拌站污水二氧化碳中和处理技术规程</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标准通过碳中和技术用二氧化碳对混凝土搅拌站碱性污水进行综合治理，将二氧化碳和碱性污水中的有害物质进行化学反应，生成水和碳酸盐。反应产物碳酸盐为纳米级超细颗粒，具有超细颗粒的特征，对污水中的有机大分子具有一定的吸附和絮凝作用。处理过程中，</w:t>
            </w:r>
            <w:r>
              <w:rPr>
                <w:rFonts w:ascii="仿宋" w:eastAsia="仿宋" w:hAnsi="仿宋" w:cs="仿宋" w:hint="eastAsia"/>
                <w:color w:val="000000"/>
                <w:sz w:val="30"/>
                <w:szCs w:val="30"/>
                <w:lang/>
              </w:rPr>
              <w:t>pH</w:t>
            </w:r>
            <w:r>
              <w:rPr>
                <w:rFonts w:ascii="仿宋" w:eastAsia="仿宋" w:hAnsi="仿宋" w:cs="仿宋" w:hint="eastAsia"/>
                <w:color w:val="000000"/>
                <w:sz w:val="30"/>
                <w:szCs w:val="30"/>
                <w:lang/>
              </w:rPr>
              <w:t>电子监测仪对碱性污水池的</w:t>
            </w:r>
            <w:r>
              <w:rPr>
                <w:rFonts w:ascii="仿宋" w:eastAsia="仿宋" w:hAnsi="仿宋" w:cs="仿宋" w:hint="eastAsia"/>
                <w:color w:val="000000"/>
                <w:sz w:val="30"/>
                <w:szCs w:val="30"/>
                <w:lang/>
              </w:rPr>
              <w:t>pH</w:t>
            </w:r>
            <w:r>
              <w:rPr>
                <w:rFonts w:ascii="仿宋" w:eastAsia="仿宋" w:hAnsi="仿宋" w:cs="仿宋" w:hint="eastAsia"/>
                <w:color w:val="000000"/>
                <w:sz w:val="30"/>
                <w:szCs w:val="30"/>
                <w:lang/>
              </w:rPr>
              <w:t>进行实时监测，经过一系列的化学反应和物理分离过程，从而实现水资源回收再循环利用。</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浙江森友环保成套设备有限公司等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中国建筑业协会混凝土分会</w:t>
            </w:r>
          </w:p>
        </w:tc>
      </w:tr>
      <w:tr w:rsidR="00F053DD">
        <w:trPr>
          <w:cantSplit/>
          <w:trHeight w:val="733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17</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传统建筑更新改造绿色低碳技术标准</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旨在指导传统建筑（包括历史建筑、风貌建筑或一般性老旧建筑）的绿色低碳化改造工程。在尊重其历史、文化和美学价值，提升其安全性和使用功能的前提下，通过规范前期诊断与评估、改造过程相关绿色低碳改造方案、技术和建造措施以及改造后评价等要求，提高传统建筑的环境友好性，实现绿色低碳甚至零碳排放的目标，为其可持续发展提供支撑。编制中应注意能与《既有建筑维护与改造通用规范》</w:t>
            </w:r>
            <w:r>
              <w:rPr>
                <w:rFonts w:ascii="仿宋" w:eastAsia="仿宋" w:hAnsi="仿宋" w:cs="仿宋" w:hint="eastAsia"/>
                <w:color w:val="000000"/>
                <w:sz w:val="30"/>
                <w:szCs w:val="30"/>
                <w:lang/>
              </w:rPr>
              <w:t xml:space="preserve">GB </w:t>
            </w:r>
            <w:r>
              <w:rPr>
                <w:rFonts w:ascii="仿宋" w:eastAsia="仿宋" w:hAnsi="仿宋" w:cs="仿宋" w:hint="eastAsia"/>
                <w:color w:val="000000"/>
                <w:sz w:val="30"/>
                <w:szCs w:val="30"/>
                <w:lang/>
              </w:rPr>
              <w:t>55022-2021</w:t>
            </w:r>
            <w:r>
              <w:rPr>
                <w:rFonts w:ascii="仿宋" w:eastAsia="仿宋" w:hAnsi="仿宋" w:cs="仿宋" w:hint="eastAsia"/>
                <w:color w:val="000000"/>
                <w:sz w:val="30"/>
                <w:szCs w:val="30"/>
                <w:lang/>
              </w:rPr>
              <w:t>、《城乡历史文化保护利用项目规范》</w:t>
            </w:r>
            <w:r>
              <w:rPr>
                <w:rFonts w:ascii="仿宋" w:eastAsia="仿宋" w:hAnsi="仿宋" w:cs="仿宋" w:hint="eastAsia"/>
                <w:color w:val="000000"/>
                <w:sz w:val="30"/>
                <w:szCs w:val="30"/>
                <w:lang/>
              </w:rPr>
              <w:t>GB 55035-2023</w:t>
            </w:r>
            <w:r>
              <w:rPr>
                <w:rFonts w:ascii="仿宋" w:eastAsia="仿宋" w:hAnsi="仿宋" w:cs="仿宋" w:hint="eastAsia"/>
                <w:color w:val="000000"/>
                <w:sz w:val="30"/>
                <w:szCs w:val="30"/>
                <w:lang/>
              </w:rPr>
              <w:t>、《传统建筑工程技术标准》</w:t>
            </w:r>
            <w:r>
              <w:rPr>
                <w:rFonts w:ascii="仿宋" w:eastAsia="仿宋" w:hAnsi="仿宋" w:cs="仿宋" w:hint="eastAsia"/>
                <w:color w:val="000000"/>
                <w:sz w:val="30"/>
                <w:szCs w:val="30"/>
                <w:lang/>
              </w:rPr>
              <w:t>GB/T 51330-2019</w:t>
            </w:r>
            <w:r>
              <w:rPr>
                <w:rFonts w:ascii="仿宋" w:eastAsia="仿宋" w:hAnsi="仿宋" w:cs="仿宋" w:hint="eastAsia"/>
                <w:color w:val="000000"/>
                <w:sz w:val="30"/>
                <w:szCs w:val="30"/>
                <w:lang/>
              </w:rPr>
              <w:t>、《历史建筑修缮技术规程》</w:t>
            </w:r>
            <w:r>
              <w:rPr>
                <w:rFonts w:ascii="仿宋" w:eastAsia="仿宋" w:hAnsi="仿宋" w:cs="仿宋" w:hint="eastAsia"/>
                <w:color w:val="000000"/>
                <w:sz w:val="30"/>
                <w:szCs w:val="30"/>
                <w:lang/>
              </w:rPr>
              <w:t>JGJ/T 486-2021</w:t>
            </w:r>
            <w:r>
              <w:rPr>
                <w:rFonts w:ascii="仿宋" w:eastAsia="仿宋" w:hAnsi="仿宋" w:cs="仿宋" w:hint="eastAsia"/>
                <w:color w:val="000000"/>
                <w:sz w:val="30"/>
                <w:szCs w:val="30"/>
                <w:lang/>
              </w:rPr>
              <w:t>一致。</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中国建筑业协会古建园林与环境工程分会等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中国建筑业协会古建园林与环境工程分会</w:t>
            </w:r>
          </w:p>
        </w:tc>
      </w:tr>
      <w:tr w:rsidR="00F053DD">
        <w:trPr>
          <w:cantSplit/>
          <w:trHeight w:val="647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18</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淤泥固化土路基填筑技术标准</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针对淤泥用于路基填筑尚无统一技术标准的问题，本标准拟通过以下五个方面形成本标准成果：</w:t>
            </w:r>
            <w:r>
              <w:rPr>
                <w:rFonts w:ascii="仿宋" w:eastAsia="仿宋" w:hAnsi="仿宋" w:cs="仿宋" w:hint="eastAsia"/>
                <w:color w:val="000000"/>
                <w:sz w:val="30"/>
                <w:szCs w:val="30"/>
                <w:lang/>
              </w:rPr>
              <w:t>1</w:t>
            </w:r>
            <w:r>
              <w:rPr>
                <w:rFonts w:ascii="仿宋" w:eastAsia="仿宋" w:hAnsi="仿宋" w:cs="仿宋" w:hint="eastAsia"/>
                <w:color w:val="000000"/>
                <w:sz w:val="30"/>
                <w:szCs w:val="30"/>
                <w:lang/>
              </w:rPr>
              <w:t>、河道淤泥的检测与分类；</w:t>
            </w:r>
            <w:r>
              <w:rPr>
                <w:rFonts w:ascii="仿宋" w:eastAsia="仿宋" w:hAnsi="仿宋" w:cs="仿宋" w:hint="eastAsia"/>
                <w:color w:val="000000"/>
                <w:sz w:val="30"/>
                <w:szCs w:val="30"/>
                <w:lang/>
              </w:rPr>
              <w:t>2</w:t>
            </w:r>
            <w:r>
              <w:rPr>
                <w:rFonts w:ascii="仿宋" w:eastAsia="仿宋" w:hAnsi="仿宋" w:cs="仿宋" w:hint="eastAsia"/>
                <w:color w:val="000000"/>
                <w:sz w:val="30"/>
                <w:szCs w:val="30"/>
                <w:lang/>
              </w:rPr>
              <w:t>、河道淤泥填筑前的预处理工艺（含固化、脱水等）；</w:t>
            </w:r>
            <w:r>
              <w:rPr>
                <w:rFonts w:ascii="仿宋" w:eastAsia="仿宋" w:hAnsi="仿宋" w:cs="仿宋" w:hint="eastAsia"/>
                <w:color w:val="000000"/>
                <w:sz w:val="30"/>
                <w:szCs w:val="30"/>
                <w:lang/>
              </w:rPr>
              <w:t>3</w:t>
            </w:r>
            <w:r>
              <w:rPr>
                <w:rFonts w:ascii="仿宋" w:eastAsia="仿宋" w:hAnsi="仿宋" w:cs="仿宋" w:hint="eastAsia"/>
                <w:color w:val="000000"/>
                <w:sz w:val="30"/>
                <w:szCs w:val="30"/>
                <w:lang/>
              </w:rPr>
              <w:t>、淤泥路基设计参数及技术指标确定；</w:t>
            </w:r>
            <w:r>
              <w:rPr>
                <w:rFonts w:ascii="仿宋" w:eastAsia="仿宋" w:hAnsi="仿宋" w:cs="仿宋" w:hint="eastAsia"/>
                <w:color w:val="000000"/>
                <w:sz w:val="30"/>
                <w:szCs w:val="30"/>
                <w:lang/>
              </w:rPr>
              <w:t>4</w:t>
            </w:r>
            <w:r>
              <w:rPr>
                <w:rFonts w:ascii="仿宋" w:eastAsia="仿宋" w:hAnsi="仿宋" w:cs="仿宋" w:hint="eastAsia"/>
                <w:color w:val="000000"/>
                <w:sz w:val="30"/>
                <w:szCs w:val="30"/>
                <w:lang/>
              </w:rPr>
              <w:t>、填筑施工工艺及质量控制要求；</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施工后检测方法与验收要求等</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个方面，形成《淤泥固化土路基填筑技术标准》，推动行业内河道淤泥再利用业务向标准化、体系化、科学化方向发展。</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中冶天工集团有限公司等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中国冶金科工集团有限公司</w:t>
            </w:r>
          </w:p>
        </w:tc>
      </w:tr>
      <w:tr w:rsidR="00F053DD">
        <w:trPr>
          <w:cantSplit/>
          <w:trHeight w:val="532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19</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机动性铝合金折叠房屋</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产品</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标准规定了铝合金折叠房屋的研发、生产、运输、现场快速展开与撤收的全过程技术规范。通过明确产品的分类与标记、材料性能、结构设计、围护系统、密闭性、电气及给排水配置等核心内容，并结合试验验证与实际应用，形成普适性技术规范。确保产品在地震、水灾等应急场景以及文旅等多种领域应用的安全性与功能性。旨在推动轻量化、高机动、可循环周转的铝合金房屋的规范化应用与行业高质量发展。</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中冶天工集团有限公司等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中国冶金科工集团有限公司</w:t>
            </w:r>
          </w:p>
        </w:tc>
      </w:tr>
      <w:tr w:rsidR="00F053DD">
        <w:trPr>
          <w:cantSplit/>
          <w:trHeight w:val="664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53DD" w:rsidRDefault="00357848">
            <w:pPr>
              <w:jc w:val="cente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lastRenderedPageBreak/>
              <w:t>20</w:t>
            </w:r>
          </w:p>
        </w:tc>
        <w:tc>
          <w:tcPr>
            <w:tcW w:w="1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混凝土裂缝自修复材料应用技术规程</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制订</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工程建设</w:t>
            </w:r>
          </w:p>
        </w:tc>
        <w:tc>
          <w:tcPr>
            <w:tcW w:w="6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标准的编制旨在规范混凝土裂缝自修复材料的应用，促进防水行业的发展。主要内容涵盖材料性能界定，明确自修复材料性能指标；规范设计，考虑工程与材料特性确定适配方法；标准化施工工艺，细化搅拌、运输等环节操作；构建质量检验与验收体系，从进场到竣工全流程把控；明确安全环保要求，规定材料储存、防护及环保标准。</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中冶武汉冶金建筑研究院有限公司等</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2028</w:t>
            </w:r>
            <w:r>
              <w:rPr>
                <w:rFonts w:ascii="仿宋" w:eastAsia="仿宋" w:hAnsi="仿宋" w:cs="仿宋" w:hint="eastAsia"/>
                <w:color w:val="000000"/>
                <w:sz w:val="30"/>
                <w:szCs w:val="30"/>
                <w:lang/>
              </w:rPr>
              <w:t>年</w:t>
            </w:r>
            <w:r>
              <w:rPr>
                <w:rFonts w:ascii="仿宋" w:eastAsia="仿宋" w:hAnsi="仿宋" w:cs="仿宋" w:hint="eastAsia"/>
                <w:color w:val="000000"/>
                <w:sz w:val="30"/>
                <w:szCs w:val="30"/>
                <w:lang/>
              </w:rPr>
              <w:t>5</w:t>
            </w:r>
            <w:r>
              <w:rPr>
                <w:rFonts w:ascii="仿宋" w:eastAsia="仿宋" w:hAnsi="仿宋" w:cs="仿宋" w:hint="eastAsia"/>
                <w:color w:val="000000"/>
                <w:sz w:val="30"/>
                <w:szCs w:val="30"/>
                <w:lang/>
              </w:rPr>
              <w:t>月</w:t>
            </w:r>
            <w:r>
              <w:rPr>
                <w:rFonts w:ascii="仿宋" w:eastAsia="仿宋" w:hAnsi="仿宋" w:cs="仿宋" w:hint="eastAsia"/>
                <w:color w:val="000000"/>
                <w:sz w:val="30"/>
                <w:szCs w:val="30"/>
                <w:lang/>
              </w:rPr>
              <w:t>30</w:t>
            </w:r>
            <w:r>
              <w:rPr>
                <w:rFonts w:ascii="仿宋" w:eastAsia="仿宋" w:hAnsi="仿宋" w:cs="仿宋" w:hint="eastAsia"/>
                <w:color w:val="000000"/>
                <w:sz w:val="30"/>
                <w:szCs w:val="30"/>
                <w:lang/>
              </w:rPr>
              <w:t>日</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3DD" w:rsidRDefault="00357848">
            <w:pPr>
              <w:textAlignment w:val="center"/>
              <w:rPr>
                <w:rFonts w:ascii="仿宋" w:eastAsia="仿宋" w:hAnsi="仿宋" w:cs="仿宋"/>
                <w:color w:val="000000"/>
                <w:sz w:val="30"/>
                <w:szCs w:val="30"/>
              </w:rPr>
            </w:pPr>
            <w:r>
              <w:rPr>
                <w:rFonts w:ascii="仿宋" w:eastAsia="仿宋" w:hAnsi="仿宋" w:cs="仿宋" w:hint="eastAsia"/>
                <w:color w:val="000000"/>
                <w:sz w:val="30"/>
                <w:szCs w:val="30"/>
                <w:lang/>
              </w:rPr>
              <w:t>中国冶金科工集团有限公司</w:t>
            </w:r>
          </w:p>
        </w:tc>
      </w:tr>
    </w:tbl>
    <w:p w:rsidR="00F053DD" w:rsidRDefault="00F053DD">
      <w:pPr>
        <w:rPr>
          <w:rFonts w:ascii="仿宋_GB2312" w:eastAsia="仿宋_GB2312"/>
          <w:sz w:val="32"/>
          <w:szCs w:val="32"/>
        </w:rPr>
        <w:sectPr w:rsidR="00F053DD">
          <w:footerReference w:type="default" r:id="rId7"/>
          <w:pgSz w:w="16838" w:h="11906" w:orient="landscape"/>
          <w:pgMar w:top="1531" w:right="1588" w:bottom="1474" w:left="1588" w:header="851" w:footer="624" w:gutter="0"/>
          <w:cols w:space="0"/>
          <w:docGrid w:type="lines" w:linePitch="327"/>
        </w:sect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r>
        <w:rPr>
          <w:rFonts w:ascii="仿宋_GB2312" w:eastAsia="仿宋_GB2312"/>
          <w:sz w:val="32"/>
          <w:szCs w:val="32"/>
        </w:rPr>
        <w:pict>
          <v:shapetype id="_x0000_t202" coordsize="21600,21600" o:spt="202" path="m,l,21600r21600,l21600,xe">
            <v:stroke joinstyle="miter"/>
            <v:path gradientshapeok="t" o:connecttype="rect"/>
          </v:shapetype>
          <v:shape id="_x0000_s2055" type="#_x0000_t202" style="position:absolute;margin-left:202.45pt;margin-top:43.6pt;width:37.2pt;height:33.6pt;z-index:251663360" strokecolor="white">
            <v:textbox>
              <w:txbxContent>
                <w:p w:rsidR="00F053DD" w:rsidRDefault="00F053DD"/>
              </w:txbxContent>
            </v:textbox>
          </v:shape>
        </w:pict>
      </w: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rPr>
          <w:rFonts w:ascii="仿宋_GB2312" w:eastAsia="仿宋_GB2312"/>
          <w:sz w:val="32"/>
          <w:szCs w:val="32"/>
        </w:rPr>
      </w:pPr>
    </w:p>
    <w:p w:rsidR="00F053DD" w:rsidRDefault="00F053DD">
      <w:pPr>
        <w:tabs>
          <w:tab w:val="center" w:pos="4656"/>
          <w:tab w:val="right" w:pos="9178"/>
        </w:tabs>
        <w:spacing w:line="160" w:lineRule="exact"/>
        <w:rPr>
          <w:rFonts w:eastAsia="仿宋_GB2312"/>
          <w:color w:val="000000" w:themeColor="text1"/>
          <w:sz w:val="32"/>
          <w:szCs w:val="32"/>
        </w:rPr>
      </w:pPr>
    </w:p>
    <w:p w:rsidR="00F053DD" w:rsidRDefault="00F053DD">
      <w:pPr>
        <w:tabs>
          <w:tab w:val="center" w:pos="4656"/>
          <w:tab w:val="right" w:pos="9178"/>
        </w:tabs>
        <w:spacing w:line="160" w:lineRule="exact"/>
        <w:rPr>
          <w:rFonts w:eastAsia="仿宋_GB2312"/>
          <w:color w:val="000000" w:themeColor="text1"/>
          <w:sz w:val="32"/>
          <w:szCs w:val="32"/>
        </w:rPr>
      </w:pPr>
    </w:p>
    <w:p w:rsidR="00F053DD" w:rsidRDefault="00F053DD">
      <w:pPr>
        <w:adjustRightInd w:val="0"/>
        <w:snapToGrid w:val="0"/>
        <w:spacing w:line="160" w:lineRule="exact"/>
        <w:rPr>
          <w:rFonts w:eastAsia="仿宋_GB2312" w:cs="仿宋_GB2312"/>
          <w:color w:val="000000"/>
          <w:sz w:val="32"/>
          <w:szCs w:val="32"/>
        </w:rPr>
      </w:pPr>
    </w:p>
    <w:p w:rsidR="00F053DD" w:rsidRDefault="00F053DD">
      <w:pPr>
        <w:adjustRightInd w:val="0"/>
        <w:snapToGrid w:val="0"/>
        <w:spacing w:line="600" w:lineRule="exact"/>
        <w:jc w:val="center"/>
        <w:rPr>
          <w:rFonts w:ascii="仿宋_GB2312" w:eastAsia="仿宋_GB2312"/>
          <w:sz w:val="32"/>
          <w:szCs w:val="32"/>
        </w:rPr>
      </w:pPr>
      <w:r w:rsidRPr="00F053DD">
        <w:rPr>
          <w:color w:val="000000"/>
          <w:sz w:val="21"/>
          <w:szCs w:val="21"/>
        </w:rPr>
        <w:pict>
          <v:shapetype id="_x0000_t32" coordsize="21600,21600" o:spt="32" o:oned="t" path="m,l21600,21600e" filled="f">
            <v:path arrowok="t" fillok="f" o:connecttype="none"/>
            <o:lock v:ext="edit" shapetype="t"/>
          </v:shapetype>
          <v:shape id="_x0000_s2051" type="#_x0000_t32" style="position:absolute;left:0;text-align:left;margin-left:1.6pt;margin-top:3.85pt;width:440.25pt;height:0;z-index:251660288" o:connectortype="straight" strokeweight="1.25pt"/>
        </w:pict>
      </w:r>
      <w:r w:rsidRPr="00F053DD">
        <w:rPr>
          <w:color w:val="000000"/>
          <w:sz w:val="21"/>
          <w:szCs w:val="21"/>
        </w:rPr>
        <w:pict>
          <v:shape id="_x0000_s2052" type="#_x0000_t202" style="position:absolute;left:0;text-align:left;margin-left:208.65pt;margin-top:36.95pt;width:36.25pt;height:32.2pt;z-index:251661312" strokecolor="white">
            <v:textbox>
              <w:txbxContent>
                <w:p w:rsidR="00F053DD" w:rsidRDefault="00F053DD"/>
              </w:txbxContent>
            </v:textbox>
          </v:shape>
        </w:pict>
      </w:r>
      <w:r w:rsidRPr="00F053DD">
        <w:rPr>
          <w:sz w:val="21"/>
          <w:szCs w:val="21"/>
        </w:rPr>
        <w:pict>
          <v:shape id="_x0000_s2050" type="#_x0000_t202" style="position:absolute;left:0;text-align:left;margin-left:208.65pt;margin-top:58.1pt;width:30.75pt;height:21.75pt;z-index:251659264" stroked="f">
            <v:textbox>
              <w:txbxContent>
                <w:p w:rsidR="00F053DD" w:rsidRDefault="00F053DD"/>
              </w:txbxContent>
            </v:textbox>
          </v:shape>
        </w:pict>
      </w:r>
      <w:r w:rsidR="00357848">
        <w:rPr>
          <w:rFonts w:eastAsia="仿宋_GB2312" w:cs="仿宋_GB2312" w:hint="eastAsia"/>
          <w:color w:val="000000"/>
          <w:sz w:val="32"/>
          <w:szCs w:val="32"/>
        </w:rPr>
        <w:t xml:space="preserve">                        </w:t>
      </w:r>
      <w:r w:rsidR="00357848">
        <w:rPr>
          <w:rFonts w:eastAsia="仿宋_GB2312" w:cs="仿宋_GB2312" w:hint="eastAsia"/>
          <w:color w:val="000000"/>
          <w:sz w:val="32"/>
          <w:szCs w:val="32"/>
        </w:rPr>
        <w:t>校对：质量与科技推广部</w:t>
      </w:r>
      <w:r w:rsidR="00357848">
        <w:rPr>
          <w:rFonts w:eastAsia="仿宋_GB2312" w:cs="仿宋_GB2312" w:hint="eastAsia"/>
          <w:color w:val="000000"/>
          <w:sz w:val="32"/>
          <w:szCs w:val="32"/>
        </w:rPr>
        <w:t xml:space="preserve">  </w:t>
      </w:r>
      <w:r w:rsidR="00357848">
        <w:rPr>
          <w:rFonts w:eastAsia="仿宋_GB2312" w:hint="eastAsia"/>
          <w:color w:val="000000"/>
          <w:sz w:val="32"/>
          <w:szCs w:val="32"/>
        </w:rPr>
        <w:t>彭书凝</w:t>
      </w:r>
    </w:p>
    <w:sectPr w:rsidR="00F053DD" w:rsidSect="00F053DD">
      <w:pgSz w:w="11906" w:h="16838"/>
      <w:pgMar w:top="1588" w:right="1474" w:bottom="1588" w:left="1531" w:header="851" w:footer="624" w:gutter="0"/>
      <w:cols w:space="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848" w:rsidRDefault="00357848" w:rsidP="00F053DD">
      <w:pPr>
        <w:ind w:firstLine="640"/>
      </w:pPr>
      <w:r>
        <w:separator/>
      </w:r>
    </w:p>
  </w:endnote>
  <w:endnote w:type="continuationSeparator" w:id="1">
    <w:p w:rsidR="00357848" w:rsidRDefault="00357848" w:rsidP="00F053DD">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57125"/>
    </w:sdtPr>
    <w:sdtContent>
      <w:p w:rsidR="00F053DD" w:rsidRDefault="00F053DD">
        <w:pPr>
          <w:pStyle w:val="a4"/>
          <w:jc w:val="center"/>
        </w:pPr>
        <w:r w:rsidRPr="00F053DD">
          <w:fldChar w:fldCharType="begin"/>
        </w:r>
        <w:r w:rsidR="00357848">
          <w:instrText xml:space="preserve"> PAGE   \* MERGEFORMAT </w:instrText>
        </w:r>
        <w:r w:rsidRPr="00F053DD">
          <w:fldChar w:fldCharType="separate"/>
        </w:r>
        <w:r w:rsidR="0062041A" w:rsidRPr="0062041A">
          <w:rPr>
            <w:noProof/>
            <w:lang w:val="zh-CN"/>
          </w:rPr>
          <w:t>1</w:t>
        </w:r>
        <w:r>
          <w:rPr>
            <w:lang w:val="zh-CN"/>
          </w:rPr>
          <w:fldChar w:fldCharType="end"/>
        </w:r>
      </w:p>
    </w:sdtContent>
  </w:sdt>
  <w:p w:rsidR="00F053DD" w:rsidRDefault="00F053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848" w:rsidRDefault="00357848" w:rsidP="00F053DD">
      <w:pPr>
        <w:ind w:firstLine="640"/>
      </w:pPr>
      <w:r>
        <w:separator/>
      </w:r>
    </w:p>
  </w:footnote>
  <w:footnote w:type="continuationSeparator" w:id="1">
    <w:p w:rsidR="00357848" w:rsidRDefault="00357848" w:rsidP="00F053DD">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420"/>
  <w:drawingGridHorizontalSpacing w:val="120"/>
  <w:drawingGridVerticalSpacing w:val="327"/>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Dg5NGIzMjQ5OTljOTYwYjdkMTI1ZDg5OGVlMzQ4ZTcifQ=="/>
    <w:docVar w:name="KSO_WPS_MARK_KEY" w:val="a14541ae-8ddd-4fbd-8185-d9eebe5fa15c"/>
  </w:docVars>
  <w:rsids>
    <w:rsidRoot w:val="003E22B2"/>
    <w:rsid w:val="000229F9"/>
    <w:rsid w:val="00043B6E"/>
    <w:rsid w:val="00045170"/>
    <w:rsid w:val="00072C34"/>
    <w:rsid w:val="000A1BD1"/>
    <w:rsid w:val="000A6503"/>
    <w:rsid w:val="000B3B08"/>
    <w:rsid w:val="000C3BC9"/>
    <w:rsid w:val="000D3030"/>
    <w:rsid w:val="00100148"/>
    <w:rsid w:val="00131EE4"/>
    <w:rsid w:val="001467F2"/>
    <w:rsid w:val="00152AC7"/>
    <w:rsid w:val="00162AD4"/>
    <w:rsid w:val="001701FB"/>
    <w:rsid w:val="00173AC9"/>
    <w:rsid w:val="0018331F"/>
    <w:rsid w:val="00191CC7"/>
    <w:rsid w:val="00197B27"/>
    <w:rsid w:val="001A3254"/>
    <w:rsid w:val="001B1142"/>
    <w:rsid w:val="001E082B"/>
    <w:rsid w:val="001E2AE1"/>
    <w:rsid w:val="001F7FCA"/>
    <w:rsid w:val="00206191"/>
    <w:rsid w:val="00215D64"/>
    <w:rsid w:val="002303EC"/>
    <w:rsid w:val="00236078"/>
    <w:rsid w:val="002460CF"/>
    <w:rsid w:val="00285089"/>
    <w:rsid w:val="00290617"/>
    <w:rsid w:val="00294150"/>
    <w:rsid w:val="00297230"/>
    <w:rsid w:val="002C5C3E"/>
    <w:rsid w:val="002E037C"/>
    <w:rsid w:val="002E3891"/>
    <w:rsid w:val="00330A0F"/>
    <w:rsid w:val="00357848"/>
    <w:rsid w:val="00367F28"/>
    <w:rsid w:val="00370A89"/>
    <w:rsid w:val="0038590B"/>
    <w:rsid w:val="003959D3"/>
    <w:rsid w:val="003A6C0A"/>
    <w:rsid w:val="003B4EBD"/>
    <w:rsid w:val="003C0104"/>
    <w:rsid w:val="003C1F36"/>
    <w:rsid w:val="003D0519"/>
    <w:rsid w:val="003D240E"/>
    <w:rsid w:val="003E22B2"/>
    <w:rsid w:val="003E3EE4"/>
    <w:rsid w:val="003E7EE9"/>
    <w:rsid w:val="00403BAE"/>
    <w:rsid w:val="00420639"/>
    <w:rsid w:val="00441B3B"/>
    <w:rsid w:val="00441C92"/>
    <w:rsid w:val="00455E6E"/>
    <w:rsid w:val="00463399"/>
    <w:rsid w:val="00465A2E"/>
    <w:rsid w:val="00471465"/>
    <w:rsid w:val="004719BC"/>
    <w:rsid w:val="004E2297"/>
    <w:rsid w:val="004F326F"/>
    <w:rsid w:val="00521368"/>
    <w:rsid w:val="0053031F"/>
    <w:rsid w:val="0053620E"/>
    <w:rsid w:val="00546566"/>
    <w:rsid w:val="00551293"/>
    <w:rsid w:val="00553784"/>
    <w:rsid w:val="00566F9C"/>
    <w:rsid w:val="00570194"/>
    <w:rsid w:val="005710F2"/>
    <w:rsid w:val="0057534E"/>
    <w:rsid w:val="005A5F70"/>
    <w:rsid w:val="005B1DB5"/>
    <w:rsid w:val="005C1589"/>
    <w:rsid w:val="005D7997"/>
    <w:rsid w:val="005E5376"/>
    <w:rsid w:val="005E72F2"/>
    <w:rsid w:val="005F295B"/>
    <w:rsid w:val="0061034C"/>
    <w:rsid w:val="0062041A"/>
    <w:rsid w:val="006247FC"/>
    <w:rsid w:val="00631E42"/>
    <w:rsid w:val="006335FD"/>
    <w:rsid w:val="00655AFD"/>
    <w:rsid w:val="00657EB9"/>
    <w:rsid w:val="006C70F6"/>
    <w:rsid w:val="006D66C3"/>
    <w:rsid w:val="006E5FA6"/>
    <w:rsid w:val="00735497"/>
    <w:rsid w:val="00751F7C"/>
    <w:rsid w:val="007629DE"/>
    <w:rsid w:val="00782FDB"/>
    <w:rsid w:val="00796C83"/>
    <w:rsid w:val="007A0A95"/>
    <w:rsid w:val="007B3D34"/>
    <w:rsid w:val="007C742E"/>
    <w:rsid w:val="007D3380"/>
    <w:rsid w:val="007F07FA"/>
    <w:rsid w:val="00841ACE"/>
    <w:rsid w:val="0088237B"/>
    <w:rsid w:val="00885C5F"/>
    <w:rsid w:val="008914BD"/>
    <w:rsid w:val="00893444"/>
    <w:rsid w:val="008A4451"/>
    <w:rsid w:val="008B35B4"/>
    <w:rsid w:val="008B42F3"/>
    <w:rsid w:val="008B4B19"/>
    <w:rsid w:val="008C3CAC"/>
    <w:rsid w:val="008D6496"/>
    <w:rsid w:val="008D6E28"/>
    <w:rsid w:val="008E1AC8"/>
    <w:rsid w:val="008E6362"/>
    <w:rsid w:val="008E7DBC"/>
    <w:rsid w:val="008F07E2"/>
    <w:rsid w:val="00902C2A"/>
    <w:rsid w:val="009155C5"/>
    <w:rsid w:val="00917862"/>
    <w:rsid w:val="00923A73"/>
    <w:rsid w:val="00924B4F"/>
    <w:rsid w:val="00926E94"/>
    <w:rsid w:val="00944E83"/>
    <w:rsid w:val="00963434"/>
    <w:rsid w:val="0098476B"/>
    <w:rsid w:val="009926D1"/>
    <w:rsid w:val="009A71EE"/>
    <w:rsid w:val="009B6E55"/>
    <w:rsid w:val="009E02F0"/>
    <w:rsid w:val="00A0564F"/>
    <w:rsid w:val="00A32DC5"/>
    <w:rsid w:val="00A37D71"/>
    <w:rsid w:val="00A549CE"/>
    <w:rsid w:val="00A55C41"/>
    <w:rsid w:val="00A71560"/>
    <w:rsid w:val="00A80D67"/>
    <w:rsid w:val="00A81162"/>
    <w:rsid w:val="00AA21C3"/>
    <w:rsid w:val="00AB7F68"/>
    <w:rsid w:val="00AF7720"/>
    <w:rsid w:val="00AF7BDB"/>
    <w:rsid w:val="00AF7CEB"/>
    <w:rsid w:val="00B07B41"/>
    <w:rsid w:val="00B34B76"/>
    <w:rsid w:val="00B40399"/>
    <w:rsid w:val="00B43C2E"/>
    <w:rsid w:val="00B547E1"/>
    <w:rsid w:val="00B73E27"/>
    <w:rsid w:val="00B96BB2"/>
    <w:rsid w:val="00BA2996"/>
    <w:rsid w:val="00BD0848"/>
    <w:rsid w:val="00BF2BE5"/>
    <w:rsid w:val="00C02C8E"/>
    <w:rsid w:val="00C16DCB"/>
    <w:rsid w:val="00C20881"/>
    <w:rsid w:val="00C26872"/>
    <w:rsid w:val="00C31345"/>
    <w:rsid w:val="00C318CC"/>
    <w:rsid w:val="00C3531E"/>
    <w:rsid w:val="00C36BCA"/>
    <w:rsid w:val="00C50084"/>
    <w:rsid w:val="00C54BD9"/>
    <w:rsid w:val="00C70E6D"/>
    <w:rsid w:val="00C75AF5"/>
    <w:rsid w:val="00C80ABE"/>
    <w:rsid w:val="00CA10CB"/>
    <w:rsid w:val="00CA43AD"/>
    <w:rsid w:val="00CC3C70"/>
    <w:rsid w:val="00CC6C2F"/>
    <w:rsid w:val="00CD4824"/>
    <w:rsid w:val="00CF11B0"/>
    <w:rsid w:val="00D14B21"/>
    <w:rsid w:val="00D650EA"/>
    <w:rsid w:val="00D663A1"/>
    <w:rsid w:val="00D729A0"/>
    <w:rsid w:val="00D77666"/>
    <w:rsid w:val="00DA4283"/>
    <w:rsid w:val="00DB22D3"/>
    <w:rsid w:val="00DB7C16"/>
    <w:rsid w:val="00DC245D"/>
    <w:rsid w:val="00DC5907"/>
    <w:rsid w:val="00DD1303"/>
    <w:rsid w:val="00DD7A73"/>
    <w:rsid w:val="00DE4C23"/>
    <w:rsid w:val="00DF2D02"/>
    <w:rsid w:val="00E03DD0"/>
    <w:rsid w:val="00E15311"/>
    <w:rsid w:val="00E26722"/>
    <w:rsid w:val="00E53E03"/>
    <w:rsid w:val="00E73261"/>
    <w:rsid w:val="00E80086"/>
    <w:rsid w:val="00EC3201"/>
    <w:rsid w:val="00EC5630"/>
    <w:rsid w:val="00ED26FE"/>
    <w:rsid w:val="00ED5E05"/>
    <w:rsid w:val="00EF18C4"/>
    <w:rsid w:val="00EF3ABA"/>
    <w:rsid w:val="00F02000"/>
    <w:rsid w:val="00F053DD"/>
    <w:rsid w:val="00F21A2B"/>
    <w:rsid w:val="00F2649B"/>
    <w:rsid w:val="00F34DC0"/>
    <w:rsid w:val="00F579E8"/>
    <w:rsid w:val="00F638EA"/>
    <w:rsid w:val="00F95A58"/>
    <w:rsid w:val="00FA196A"/>
    <w:rsid w:val="00FA4214"/>
    <w:rsid w:val="00FB4F3F"/>
    <w:rsid w:val="00FC0E6F"/>
    <w:rsid w:val="00FF0C0A"/>
    <w:rsid w:val="016C2D4F"/>
    <w:rsid w:val="01920C65"/>
    <w:rsid w:val="01941EE6"/>
    <w:rsid w:val="01A1741C"/>
    <w:rsid w:val="031A4A2D"/>
    <w:rsid w:val="032C2BF8"/>
    <w:rsid w:val="03AC1FE9"/>
    <w:rsid w:val="03ED44A2"/>
    <w:rsid w:val="05900FD6"/>
    <w:rsid w:val="065B7836"/>
    <w:rsid w:val="06684E7F"/>
    <w:rsid w:val="068B1EC9"/>
    <w:rsid w:val="072145DC"/>
    <w:rsid w:val="08236132"/>
    <w:rsid w:val="08BF5E5A"/>
    <w:rsid w:val="09AF084B"/>
    <w:rsid w:val="0A653BCD"/>
    <w:rsid w:val="0B607189"/>
    <w:rsid w:val="0B756CA4"/>
    <w:rsid w:val="0BA91CBB"/>
    <w:rsid w:val="0C2F1549"/>
    <w:rsid w:val="0C66433C"/>
    <w:rsid w:val="0D3606B5"/>
    <w:rsid w:val="0D9D24E2"/>
    <w:rsid w:val="0EB405F5"/>
    <w:rsid w:val="0F207E9C"/>
    <w:rsid w:val="0F81541F"/>
    <w:rsid w:val="10321608"/>
    <w:rsid w:val="1102547E"/>
    <w:rsid w:val="110F2A65"/>
    <w:rsid w:val="11124F95"/>
    <w:rsid w:val="113969C6"/>
    <w:rsid w:val="115958E8"/>
    <w:rsid w:val="128C1C6D"/>
    <w:rsid w:val="12BD471D"/>
    <w:rsid w:val="130E0686"/>
    <w:rsid w:val="14D15173"/>
    <w:rsid w:val="15194DF6"/>
    <w:rsid w:val="15B900D5"/>
    <w:rsid w:val="16426A26"/>
    <w:rsid w:val="16783AEC"/>
    <w:rsid w:val="178D1819"/>
    <w:rsid w:val="17C500C5"/>
    <w:rsid w:val="17E551B2"/>
    <w:rsid w:val="19055FA5"/>
    <w:rsid w:val="196B213C"/>
    <w:rsid w:val="19CA0B03"/>
    <w:rsid w:val="1B19589E"/>
    <w:rsid w:val="1C476541"/>
    <w:rsid w:val="1C7B5DC8"/>
    <w:rsid w:val="1D5D7559"/>
    <w:rsid w:val="1D660B43"/>
    <w:rsid w:val="1D700199"/>
    <w:rsid w:val="1DDE6D0C"/>
    <w:rsid w:val="1F830B42"/>
    <w:rsid w:val="1FEF4E1F"/>
    <w:rsid w:val="201900EE"/>
    <w:rsid w:val="20A7394C"/>
    <w:rsid w:val="20DB53A4"/>
    <w:rsid w:val="20FD356C"/>
    <w:rsid w:val="214942D3"/>
    <w:rsid w:val="21496856"/>
    <w:rsid w:val="22602004"/>
    <w:rsid w:val="227A25DF"/>
    <w:rsid w:val="23953F30"/>
    <w:rsid w:val="240C4BC4"/>
    <w:rsid w:val="246833F2"/>
    <w:rsid w:val="249B7D44"/>
    <w:rsid w:val="24D34D10"/>
    <w:rsid w:val="25FD43B4"/>
    <w:rsid w:val="271B593A"/>
    <w:rsid w:val="277B73D5"/>
    <w:rsid w:val="27967C83"/>
    <w:rsid w:val="28091DC1"/>
    <w:rsid w:val="28341F69"/>
    <w:rsid w:val="298D7B6C"/>
    <w:rsid w:val="298F31CF"/>
    <w:rsid w:val="29AB141E"/>
    <w:rsid w:val="2A0475B6"/>
    <w:rsid w:val="2A495A74"/>
    <w:rsid w:val="2AB11513"/>
    <w:rsid w:val="2B193698"/>
    <w:rsid w:val="2B6D2C1B"/>
    <w:rsid w:val="2C5F50DB"/>
    <w:rsid w:val="2CC33737"/>
    <w:rsid w:val="2D952505"/>
    <w:rsid w:val="2DA03BFD"/>
    <w:rsid w:val="2DA5085B"/>
    <w:rsid w:val="2DB476A8"/>
    <w:rsid w:val="2DE47F8D"/>
    <w:rsid w:val="2DF17794"/>
    <w:rsid w:val="2EC35456"/>
    <w:rsid w:val="2ED26038"/>
    <w:rsid w:val="2F527179"/>
    <w:rsid w:val="2F8556DE"/>
    <w:rsid w:val="2FC8743B"/>
    <w:rsid w:val="2FEA5603"/>
    <w:rsid w:val="30446AC1"/>
    <w:rsid w:val="311346E6"/>
    <w:rsid w:val="326C695B"/>
    <w:rsid w:val="33365257"/>
    <w:rsid w:val="339822E9"/>
    <w:rsid w:val="36C02C1A"/>
    <w:rsid w:val="3715117A"/>
    <w:rsid w:val="37BB2EC4"/>
    <w:rsid w:val="38F22F76"/>
    <w:rsid w:val="39924D42"/>
    <w:rsid w:val="3AF94356"/>
    <w:rsid w:val="3BE116C7"/>
    <w:rsid w:val="3C0D2634"/>
    <w:rsid w:val="3C1934F8"/>
    <w:rsid w:val="3C221C81"/>
    <w:rsid w:val="3C261771"/>
    <w:rsid w:val="3CF33D49"/>
    <w:rsid w:val="3D424389"/>
    <w:rsid w:val="3D5822A8"/>
    <w:rsid w:val="40905D53"/>
    <w:rsid w:val="40A73F87"/>
    <w:rsid w:val="40CF0629"/>
    <w:rsid w:val="41D5290B"/>
    <w:rsid w:val="41E73751"/>
    <w:rsid w:val="42FE7220"/>
    <w:rsid w:val="435E2847"/>
    <w:rsid w:val="468477C0"/>
    <w:rsid w:val="476A10AC"/>
    <w:rsid w:val="47A6489C"/>
    <w:rsid w:val="47D904E9"/>
    <w:rsid w:val="4A4C3729"/>
    <w:rsid w:val="4AFC64BF"/>
    <w:rsid w:val="4B1355B6"/>
    <w:rsid w:val="4C3D59FC"/>
    <w:rsid w:val="4C795916"/>
    <w:rsid w:val="4CE90CC5"/>
    <w:rsid w:val="4CFF4044"/>
    <w:rsid w:val="4D0D1E1B"/>
    <w:rsid w:val="4E107BB9"/>
    <w:rsid w:val="4E7D143C"/>
    <w:rsid w:val="4F4E3061"/>
    <w:rsid w:val="4F541627"/>
    <w:rsid w:val="4FC1669B"/>
    <w:rsid w:val="4FF4200C"/>
    <w:rsid w:val="5023004A"/>
    <w:rsid w:val="50377F99"/>
    <w:rsid w:val="50A76ECD"/>
    <w:rsid w:val="50A976E0"/>
    <w:rsid w:val="512F7CA7"/>
    <w:rsid w:val="5154760C"/>
    <w:rsid w:val="51713037"/>
    <w:rsid w:val="52AB07CA"/>
    <w:rsid w:val="53193986"/>
    <w:rsid w:val="55074D3C"/>
    <w:rsid w:val="551408A9"/>
    <w:rsid w:val="552D3364"/>
    <w:rsid w:val="5540169E"/>
    <w:rsid w:val="558E6D7E"/>
    <w:rsid w:val="56656EE1"/>
    <w:rsid w:val="5697521C"/>
    <w:rsid w:val="56CF4BC8"/>
    <w:rsid w:val="57933884"/>
    <w:rsid w:val="57BB500C"/>
    <w:rsid w:val="57E502FA"/>
    <w:rsid w:val="58DD12D5"/>
    <w:rsid w:val="58F73A58"/>
    <w:rsid w:val="5A8E158E"/>
    <w:rsid w:val="5AF33F8E"/>
    <w:rsid w:val="5C871960"/>
    <w:rsid w:val="5D041203"/>
    <w:rsid w:val="5D706898"/>
    <w:rsid w:val="5DD97B2E"/>
    <w:rsid w:val="5E1E672B"/>
    <w:rsid w:val="60F15F42"/>
    <w:rsid w:val="61354266"/>
    <w:rsid w:val="61F173D6"/>
    <w:rsid w:val="62150A51"/>
    <w:rsid w:val="621D72E5"/>
    <w:rsid w:val="623B3981"/>
    <w:rsid w:val="62C21944"/>
    <w:rsid w:val="63EE0517"/>
    <w:rsid w:val="64CD637E"/>
    <w:rsid w:val="64D36815"/>
    <w:rsid w:val="65831270"/>
    <w:rsid w:val="66B15149"/>
    <w:rsid w:val="67D57A24"/>
    <w:rsid w:val="68346A8B"/>
    <w:rsid w:val="6890055F"/>
    <w:rsid w:val="69990F25"/>
    <w:rsid w:val="69AF6EDD"/>
    <w:rsid w:val="6AFC2146"/>
    <w:rsid w:val="6B3B04E6"/>
    <w:rsid w:val="6B704E63"/>
    <w:rsid w:val="6BA667DC"/>
    <w:rsid w:val="6BDF6C5C"/>
    <w:rsid w:val="6C037322"/>
    <w:rsid w:val="6C702411"/>
    <w:rsid w:val="6C872BE5"/>
    <w:rsid w:val="6C891EC0"/>
    <w:rsid w:val="6CD96208"/>
    <w:rsid w:val="6D1B05CF"/>
    <w:rsid w:val="6D6A50B2"/>
    <w:rsid w:val="6D7D4DE5"/>
    <w:rsid w:val="6D9867E6"/>
    <w:rsid w:val="6E6F5C52"/>
    <w:rsid w:val="6ED547AD"/>
    <w:rsid w:val="6F771D08"/>
    <w:rsid w:val="6FE23626"/>
    <w:rsid w:val="70764B6A"/>
    <w:rsid w:val="710F78FF"/>
    <w:rsid w:val="72A92CDA"/>
    <w:rsid w:val="72B172DF"/>
    <w:rsid w:val="73441F01"/>
    <w:rsid w:val="73641059"/>
    <w:rsid w:val="746B4978"/>
    <w:rsid w:val="7480340D"/>
    <w:rsid w:val="75947170"/>
    <w:rsid w:val="75A373B3"/>
    <w:rsid w:val="768A0525"/>
    <w:rsid w:val="76BE7968"/>
    <w:rsid w:val="76EC08E6"/>
    <w:rsid w:val="794E5888"/>
    <w:rsid w:val="79985D6D"/>
    <w:rsid w:val="79D26A20"/>
    <w:rsid w:val="7A704DA8"/>
    <w:rsid w:val="7B773D0F"/>
    <w:rsid w:val="7B936F60"/>
    <w:rsid w:val="7BAA1B68"/>
    <w:rsid w:val="7BBE2FEE"/>
    <w:rsid w:val="7C2B23BD"/>
    <w:rsid w:val="7C7A6994"/>
    <w:rsid w:val="7C97124D"/>
    <w:rsid w:val="7D127178"/>
    <w:rsid w:val="7D164333"/>
    <w:rsid w:val="7D380D29"/>
    <w:rsid w:val="7DE747B0"/>
    <w:rsid w:val="7EBE75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rules v:ext="edit">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3DD"/>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053DD"/>
    <w:rPr>
      <w:sz w:val="18"/>
      <w:szCs w:val="18"/>
    </w:rPr>
  </w:style>
  <w:style w:type="paragraph" w:styleId="a4">
    <w:name w:val="footer"/>
    <w:basedOn w:val="a"/>
    <w:link w:val="Char0"/>
    <w:uiPriority w:val="99"/>
    <w:unhideWhenUsed/>
    <w:qFormat/>
    <w:rsid w:val="00F053DD"/>
    <w:pPr>
      <w:tabs>
        <w:tab w:val="center" w:pos="4153"/>
        <w:tab w:val="right" w:pos="8306"/>
      </w:tabs>
      <w:snapToGrid w:val="0"/>
    </w:pPr>
    <w:rPr>
      <w:sz w:val="18"/>
      <w:szCs w:val="18"/>
    </w:rPr>
  </w:style>
  <w:style w:type="paragraph" w:styleId="a5">
    <w:name w:val="header"/>
    <w:basedOn w:val="a"/>
    <w:link w:val="Char1"/>
    <w:uiPriority w:val="99"/>
    <w:semiHidden/>
    <w:unhideWhenUsed/>
    <w:qFormat/>
    <w:rsid w:val="00F053D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053DD"/>
    <w:pPr>
      <w:spacing w:before="100" w:beforeAutospacing="1" w:after="100" w:afterAutospacing="1"/>
    </w:pPr>
  </w:style>
  <w:style w:type="table" w:styleId="a7">
    <w:name w:val="Table Grid"/>
    <w:basedOn w:val="a1"/>
    <w:uiPriority w:val="59"/>
    <w:qFormat/>
    <w:rsid w:val="00F05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sid w:val="00F053DD"/>
    <w:rPr>
      <w:color w:val="800080"/>
      <w:u w:val="single"/>
    </w:rPr>
  </w:style>
  <w:style w:type="character" w:styleId="a9">
    <w:name w:val="Hyperlink"/>
    <w:basedOn w:val="a0"/>
    <w:uiPriority w:val="99"/>
    <w:semiHidden/>
    <w:unhideWhenUsed/>
    <w:qFormat/>
    <w:rsid w:val="00F053DD"/>
    <w:rPr>
      <w:color w:val="0000FF"/>
      <w:u w:val="single"/>
    </w:rPr>
  </w:style>
  <w:style w:type="character" w:customStyle="1" w:styleId="Char1">
    <w:name w:val="页眉 Char"/>
    <w:basedOn w:val="a0"/>
    <w:link w:val="a5"/>
    <w:uiPriority w:val="99"/>
    <w:semiHidden/>
    <w:qFormat/>
    <w:locked/>
    <w:rsid w:val="00F053DD"/>
    <w:rPr>
      <w:rFonts w:ascii="宋体" w:eastAsia="宋体" w:hAnsi="宋体" w:cs="宋体" w:hint="eastAsia"/>
      <w:sz w:val="18"/>
      <w:szCs w:val="18"/>
    </w:rPr>
  </w:style>
  <w:style w:type="character" w:customStyle="1" w:styleId="Char0">
    <w:name w:val="页脚 Char"/>
    <w:basedOn w:val="a0"/>
    <w:link w:val="a4"/>
    <w:uiPriority w:val="99"/>
    <w:qFormat/>
    <w:locked/>
    <w:rsid w:val="00F053DD"/>
    <w:rPr>
      <w:rFonts w:ascii="宋体" w:eastAsia="宋体" w:hAnsi="宋体" w:cs="宋体" w:hint="eastAsia"/>
      <w:sz w:val="18"/>
      <w:szCs w:val="18"/>
    </w:rPr>
  </w:style>
  <w:style w:type="character" w:customStyle="1" w:styleId="apple-converted-space">
    <w:name w:val="apple-converted-space"/>
    <w:basedOn w:val="a0"/>
    <w:qFormat/>
    <w:rsid w:val="00F053DD"/>
  </w:style>
  <w:style w:type="paragraph" w:customStyle="1" w:styleId="font5">
    <w:name w:val="font5"/>
    <w:basedOn w:val="a"/>
    <w:qFormat/>
    <w:rsid w:val="00F053DD"/>
    <w:pPr>
      <w:spacing w:before="100" w:beforeAutospacing="1" w:after="100" w:afterAutospacing="1"/>
    </w:pPr>
    <w:rPr>
      <w:sz w:val="18"/>
      <w:szCs w:val="18"/>
    </w:rPr>
  </w:style>
  <w:style w:type="paragraph" w:customStyle="1" w:styleId="xl63">
    <w:name w:val="xl63"/>
    <w:basedOn w:val="a"/>
    <w:qFormat/>
    <w:rsid w:val="00F053DD"/>
    <w:pPr>
      <w:spacing w:before="100" w:beforeAutospacing="1" w:after="100" w:afterAutospacing="1"/>
      <w:jc w:val="center"/>
    </w:pPr>
  </w:style>
  <w:style w:type="paragraph" w:customStyle="1" w:styleId="xl64">
    <w:name w:val="xl64"/>
    <w:basedOn w:val="a"/>
    <w:qFormat/>
    <w:rsid w:val="00F053D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qFormat/>
    <w:rsid w:val="00F053D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仿宋_GB2312" w:eastAsia="仿宋_GB2312"/>
    </w:rPr>
  </w:style>
  <w:style w:type="paragraph" w:customStyle="1" w:styleId="xl66">
    <w:name w:val="xl66"/>
    <w:basedOn w:val="a"/>
    <w:qFormat/>
    <w:rsid w:val="00F053DD"/>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a"/>
    <w:qFormat/>
    <w:rsid w:val="00F053DD"/>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rPr>
  </w:style>
  <w:style w:type="paragraph" w:customStyle="1" w:styleId="xl68">
    <w:name w:val="xl68"/>
    <w:basedOn w:val="a"/>
    <w:qFormat/>
    <w:rsid w:val="00F053D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仿宋_GB2312" w:eastAsia="仿宋_GB2312"/>
      <w:color w:val="FF0000"/>
    </w:rPr>
  </w:style>
  <w:style w:type="paragraph" w:customStyle="1" w:styleId="xl69">
    <w:name w:val="xl69"/>
    <w:basedOn w:val="a"/>
    <w:qFormat/>
    <w:rsid w:val="00F053D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rPr>
  </w:style>
  <w:style w:type="character" w:customStyle="1" w:styleId="Char">
    <w:name w:val="批注框文本 Char"/>
    <w:basedOn w:val="a0"/>
    <w:link w:val="a3"/>
    <w:uiPriority w:val="99"/>
    <w:semiHidden/>
    <w:qFormat/>
    <w:rsid w:val="00F053DD"/>
    <w:rPr>
      <w:rFonts w:ascii="宋体" w:hAnsi="宋体" w:cs="宋体"/>
      <w:sz w:val="18"/>
      <w:szCs w:val="18"/>
    </w:rPr>
  </w:style>
  <w:style w:type="character" w:customStyle="1" w:styleId="font31">
    <w:name w:val="font31"/>
    <w:basedOn w:val="a0"/>
    <w:qFormat/>
    <w:rsid w:val="00F053DD"/>
    <w:rPr>
      <w:rFonts w:ascii="宋体" w:eastAsia="宋体" w:hAnsi="宋体" w:cs="宋体" w:hint="eastAsia"/>
      <w:color w:val="000000"/>
      <w:sz w:val="28"/>
      <w:szCs w:val="28"/>
      <w:u w:val="none"/>
    </w:rPr>
  </w:style>
  <w:style w:type="character" w:customStyle="1" w:styleId="font41">
    <w:name w:val="font41"/>
    <w:basedOn w:val="a0"/>
    <w:qFormat/>
    <w:rsid w:val="00F053DD"/>
    <w:rPr>
      <w:rFonts w:ascii="宋体" w:eastAsia="宋体" w:hAnsi="宋体" w:cs="宋体" w:hint="eastAsia"/>
      <w:color w:val="FF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5"/>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791</Words>
  <Characters>4513</Characters>
  <Application>Microsoft Office Word</Application>
  <DocSecurity>0</DocSecurity>
  <Lines>37</Lines>
  <Paragraphs>10</Paragraphs>
  <ScaleCrop>false</ScaleCrop>
  <Company>微软中国</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49799</cp:lastModifiedBy>
  <cp:revision>2</cp:revision>
  <cp:lastPrinted>2025-11-24T01:56:00Z</cp:lastPrinted>
  <dcterms:created xsi:type="dcterms:W3CDTF">2025-11-27T08:35:00Z</dcterms:created>
  <dcterms:modified xsi:type="dcterms:W3CDTF">2025-11-27T08:35:00Z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E5DA79E869C649A18E5FDC8217155025</vt:lpwstr>
  </property>
  <property fmtid="{D5CDD505-2E9C-101B-9397-08002B2CF9AE}" pid="4" name="KSOTemplateDocerSaveRecord">
    <vt:lpwstr>eyJoZGlkIjoiMDg5NGIzMjQ5OTljOTYwYjdkMTI1ZDg5OGVlMzQ4ZTciLCJ1c2VySWQiOiI1ODQ1MTczNzcifQ==</vt:lpwstr>
  </property>
</Properties>
</file>